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813C0" w14:textId="77777777" w:rsidR="00AD3078" w:rsidRDefault="006155C3">
      <w:r>
        <w:rPr>
          <w:noProof/>
        </w:rPr>
        <w:drawing>
          <wp:anchor distT="0" distB="0" distL="114300" distR="114300" simplePos="0" relativeHeight="251658240" behindDoc="0" locked="0" layoutInCell="1" hidden="0" allowOverlap="1" wp14:anchorId="5FC92FF3" wp14:editId="44416CFF">
            <wp:simplePos x="0" y="0"/>
            <wp:positionH relativeFrom="page">
              <wp:posOffset>4610100</wp:posOffset>
            </wp:positionH>
            <wp:positionV relativeFrom="page">
              <wp:posOffset>76200</wp:posOffset>
            </wp:positionV>
            <wp:extent cx="2845558" cy="1717234"/>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45558" cy="1717234"/>
                    </a:xfrm>
                    <a:prstGeom prst="rect">
                      <a:avLst/>
                    </a:prstGeom>
                    <a:ln/>
                  </pic:spPr>
                </pic:pic>
              </a:graphicData>
            </a:graphic>
          </wp:anchor>
        </w:drawing>
      </w:r>
    </w:p>
    <w:p w14:paraId="02AA8864" w14:textId="77777777" w:rsidR="00AD3078" w:rsidRDefault="00AD3078"/>
    <w:p w14:paraId="633F1D6C" w14:textId="77777777" w:rsidR="00AD3078" w:rsidRDefault="00AD3078"/>
    <w:p w14:paraId="0758A1D1" w14:textId="77777777" w:rsidR="00AD3078" w:rsidRDefault="00AD3078"/>
    <w:p w14:paraId="6E44706B" w14:textId="77777777" w:rsidR="00AD3078" w:rsidRDefault="00AD3078"/>
    <w:tbl>
      <w:tblPr>
        <w:tblStyle w:val="a"/>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620"/>
      </w:tblGrid>
      <w:tr w:rsidR="00AD3078" w14:paraId="3AC3CEB1" w14:textId="77777777">
        <w:trPr>
          <w:trHeight w:val="760"/>
        </w:trPr>
        <w:tc>
          <w:tcPr>
            <w:tcW w:w="9030" w:type="dxa"/>
            <w:gridSpan w:val="2"/>
            <w:tcBorders>
              <w:top w:val="nil"/>
              <w:left w:val="nil"/>
              <w:bottom w:val="single" w:sz="4" w:space="0" w:color="000000"/>
              <w:right w:val="nil"/>
            </w:tcBorders>
            <w:tcMar>
              <w:top w:w="100" w:type="dxa"/>
              <w:left w:w="100" w:type="dxa"/>
              <w:bottom w:w="100" w:type="dxa"/>
              <w:right w:w="100" w:type="dxa"/>
            </w:tcMar>
          </w:tcPr>
          <w:p w14:paraId="52999A21" w14:textId="77777777" w:rsidR="00AD3078" w:rsidRDefault="006155C3">
            <w:pPr>
              <w:jc w:val="center"/>
              <w:rPr>
                <w:sz w:val="24"/>
                <w:szCs w:val="24"/>
              </w:rPr>
            </w:pPr>
            <w:r>
              <w:rPr>
                <w:sz w:val="40"/>
                <w:szCs w:val="40"/>
              </w:rPr>
              <w:t xml:space="preserve">EXCLUSIONS AND SUSPENSIONS POLICY </w:t>
            </w:r>
          </w:p>
          <w:p w14:paraId="69BAB522" w14:textId="77777777" w:rsidR="00AD3078" w:rsidRDefault="00AD3078">
            <w:pPr>
              <w:rPr>
                <w:sz w:val="2"/>
                <w:szCs w:val="2"/>
              </w:rPr>
            </w:pPr>
          </w:p>
        </w:tc>
      </w:tr>
      <w:tr w:rsidR="00AD3078" w14:paraId="3833BDC5" w14:textId="77777777">
        <w:trPr>
          <w:cantSplit/>
          <w:trHeight w:val="7595"/>
        </w:trPr>
        <w:tc>
          <w:tcPr>
            <w:tcW w:w="903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DD2104" w14:textId="77777777" w:rsidR="00AD3078" w:rsidRDefault="006155C3">
            <w:pPr>
              <w:rPr>
                <w:sz w:val="20"/>
                <w:szCs w:val="20"/>
                <w:u w:val="single"/>
              </w:rPr>
            </w:pPr>
            <w:r>
              <w:rPr>
                <w:sz w:val="20"/>
                <w:szCs w:val="20"/>
                <w:u w:val="single"/>
              </w:rPr>
              <w:t>Contents</w:t>
            </w:r>
          </w:p>
          <w:sdt>
            <w:sdtPr>
              <w:id w:val="1980656026"/>
              <w:docPartObj>
                <w:docPartGallery w:val="Table of Contents"/>
                <w:docPartUnique/>
              </w:docPartObj>
            </w:sdtPr>
            <w:sdtEndPr/>
            <w:sdtContent>
              <w:p w14:paraId="32483939" w14:textId="77777777" w:rsidR="00AD3078" w:rsidRDefault="006155C3">
                <w:pPr>
                  <w:widowControl w:val="0"/>
                  <w:spacing w:before="60" w:after="0" w:line="240" w:lineRule="auto"/>
                  <w:rPr>
                    <w:rFonts w:ascii="Arial" w:eastAsia="Arial" w:hAnsi="Arial" w:cs="Arial"/>
                    <w:b/>
                    <w:bCs/>
                    <w:color w:val="000000"/>
                    <w:sz w:val="20"/>
                    <w:szCs w:val="20"/>
                  </w:rPr>
                </w:pPr>
                <w:r>
                  <w:fldChar w:fldCharType="begin"/>
                </w:r>
                <w:r>
                  <w:instrText xml:space="preserve"> TOC \h \u \z \n \t "Heading 1,1,Heading 2,2,Heading 3,3,Heading 4,4,Heading 5,5,Heading 6,6,"</w:instrText>
                </w:r>
                <w:r>
                  <w:fldChar w:fldCharType="separate"/>
                </w:r>
                <w:hyperlink w:anchor="_heading=h.rj1v21h4j41x">
                  <w:r>
                    <w:rPr>
                      <w:color w:val="000000"/>
                      <w:sz w:val="20"/>
                      <w:szCs w:val="20"/>
                    </w:rPr>
                    <w:t>1. Policy Aims</w:t>
                  </w:r>
                </w:hyperlink>
              </w:p>
              <w:p w14:paraId="17C7FDFA" w14:textId="77777777" w:rsidR="00AD3078" w:rsidRDefault="006155C3">
                <w:pPr>
                  <w:widowControl w:val="0"/>
                  <w:spacing w:before="60" w:after="0" w:line="240" w:lineRule="auto"/>
                  <w:rPr>
                    <w:rFonts w:ascii="Arial" w:eastAsia="Arial" w:hAnsi="Arial" w:cs="Arial"/>
                    <w:b/>
                    <w:bCs/>
                    <w:color w:val="000000"/>
                    <w:sz w:val="20"/>
                    <w:szCs w:val="20"/>
                  </w:rPr>
                </w:pPr>
                <w:hyperlink w:anchor="_heading=h.ebtm0g6ip14i">
                  <w:r>
                    <w:rPr>
                      <w:color w:val="000000"/>
                      <w:sz w:val="20"/>
                      <w:szCs w:val="20"/>
                    </w:rPr>
                    <w:t>2. Partnership with Parents / Carers</w:t>
                  </w:r>
                </w:hyperlink>
              </w:p>
              <w:p w14:paraId="6E67111F" w14:textId="77777777" w:rsidR="00AD3078" w:rsidRDefault="006155C3">
                <w:pPr>
                  <w:widowControl w:val="0"/>
                  <w:spacing w:before="60" w:after="0" w:line="240" w:lineRule="auto"/>
                  <w:rPr>
                    <w:rFonts w:ascii="Arial" w:eastAsia="Arial" w:hAnsi="Arial" w:cs="Arial"/>
                    <w:b/>
                    <w:bCs/>
                    <w:color w:val="000000"/>
                    <w:sz w:val="20"/>
                    <w:szCs w:val="20"/>
                  </w:rPr>
                </w:pPr>
                <w:hyperlink w:anchor="_heading=h.67c5bcno796d">
                  <w:r>
                    <w:rPr>
                      <w:color w:val="000000"/>
                      <w:sz w:val="20"/>
                      <w:szCs w:val="20"/>
                    </w:rPr>
                    <w:t>3. Behaviour Policy</w:t>
                  </w:r>
                </w:hyperlink>
              </w:p>
              <w:p w14:paraId="0308C009" w14:textId="77777777" w:rsidR="00AD3078" w:rsidRDefault="006155C3">
                <w:pPr>
                  <w:widowControl w:val="0"/>
                  <w:spacing w:before="60" w:after="0" w:line="240" w:lineRule="auto"/>
                  <w:rPr>
                    <w:rFonts w:ascii="Arial" w:eastAsia="Arial" w:hAnsi="Arial" w:cs="Arial"/>
                    <w:b/>
                    <w:bCs/>
                    <w:color w:val="000000"/>
                    <w:sz w:val="20"/>
                    <w:szCs w:val="20"/>
                  </w:rPr>
                </w:pPr>
                <w:hyperlink w:anchor="_heading=h.situj18jl5e8">
                  <w:r>
                    <w:rPr>
                      <w:color w:val="000000"/>
                      <w:sz w:val="20"/>
                      <w:szCs w:val="20"/>
                    </w:rPr>
                    <w:t>4. Supporting Pupils to Succeed</w:t>
                  </w:r>
                </w:hyperlink>
              </w:p>
              <w:p w14:paraId="01BBD0CC" w14:textId="77777777" w:rsidR="00AD3078" w:rsidRDefault="006155C3">
                <w:pPr>
                  <w:widowControl w:val="0"/>
                  <w:spacing w:before="60" w:after="0" w:line="240" w:lineRule="auto"/>
                  <w:rPr>
                    <w:rFonts w:ascii="Arial" w:eastAsia="Arial" w:hAnsi="Arial" w:cs="Arial"/>
                    <w:b/>
                    <w:bCs/>
                    <w:color w:val="000000"/>
                    <w:sz w:val="20"/>
                    <w:szCs w:val="20"/>
                  </w:rPr>
                </w:pPr>
                <w:hyperlink w:anchor="_heading=h.pjqgdj1ahymo">
                  <w:r>
                    <w:rPr>
                      <w:color w:val="000000"/>
                      <w:sz w:val="20"/>
                      <w:szCs w:val="20"/>
                    </w:rPr>
                    <w:t>5. Reasons for Suspension / Exclusion</w:t>
                  </w:r>
                </w:hyperlink>
              </w:p>
              <w:p w14:paraId="1D45C614" w14:textId="77777777" w:rsidR="00AD3078" w:rsidRDefault="006155C3">
                <w:pPr>
                  <w:widowControl w:val="0"/>
                  <w:spacing w:before="60" w:after="0" w:line="240" w:lineRule="auto"/>
                  <w:rPr>
                    <w:rFonts w:ascii="Arial" w:eastAsia="Arial" w:hAnsi="Arial" w:cs="Arial"/>
                    <w:b/>
                    <w:bCs/>
                    <w:color w:val="000000"/>
                    <w:sz w:val="20"/>
                    <w:szCs w:val="20"/>
                  </w:rPr>
                </w:pPr>
                <w:hyperlink w:anchor="_heading=h.h4jwavo05vfd">
                  <w:r>
                    <w:rPr>
                      <w:color w:val="000000"/>
                      <w:sz w:val="20"/>
                      <w:szCs w:val="20"/>
                    </w:rPr>
                    <w:t>6. Types of Suspension / Exclusion</w:t>
                  </w:r>
                </w:hyperlink>
              </w:p>
              <w:p w14:paraId="18CCBEEF" w14:textId="77777777" w:rsidR="00AD3078" w:rsidRDefault="006155C3">
                <w:pPr>
                  <w:widowControl w:val="0"/>
                  <w:spacing w:before="60" w:after="0" w:line="240" w:lineRule="auto"/>
                  <w:rPr>
                    <w:rFonts w:ascii="Arial" w:eastAsia="Arial" w:hAnsi="Arial" w:cs="Arial"/>
                    <w:b/>
                    <w:bCs/>
                    <w:color w:val="000000"/>
                    <w:sz w:val="20"/>
                    <w:szCs w:val="20"/>
                  </w:rPr>
                </w:pPr>
                <w:hyperlink w:anchor="_heading=h.z4ndgxryg0vh">
                  <w:r>
                    <w:rPr>
                      <w:color w:val="000000"/>
                      <w:sz w:val="20"/>
                      <w:szCs w:val="20"/>
                    </w:rPr>
                    <w:t>7. Persistent or Cumulative Problems</w:t>
                  </w:r>
                </w:hyperlink>
              </w:p>
              <w:p w14:paraId="01C5A893" w14:textId="77777777" w:rsidR="00AD3078" w:rsidRDefault="006155C3">
                <w:pPr>
                  <w:widowControl w:val="0"/>
                  <w:spacing w:before="60" w:after="0" w:line="240" w:lineRule="auto"/>
                  <w:rPr>
                    <w:rFonts w:ascii="Arial" w:eastAsia="Arial" w:hAnsi="Arial" w:cs="Arial"/>
                    <w:b/>
                    <w:bCs/>
                    <w:color w:val="000000"/>
                    <w:sz w:val="20"/>
                    <w:szCs w:val="20"/>
                  </w:rPr>
                </w:pPr>
                <w:hyperlink w:anchor="_heading=h.offehnhw018f">
                  <w:r>
                    <w:rPr>
                      <w:color w:val="000000"/>
                      <w:sz w:val="20"/>
                      <w:szCs w:val="20"/>
                    </w:rPr>
                    <w:t>8. Single Incident</w:t>
                  </w:r>
                </w:hyperlink>
              </w:p>
              <w:p w14:paraId="16E0C966" w14:textId="77777777" w:rsidR="00AD3078" w:rsidRDefault="006155C3">
                <w:pPr>
                  <w:widowControl w:val="0"/>
                  <w:spacing w:before="60" w:after="0" w:line="240" w:lineRule="auto"/>
                  <w:rPr>
                    <w:rFonts w:ascii="Arial" w:eastAsia="Arial" w:hAnsi="Arial" w:cs="Arial"/>
                    <w:b/>
                    <w:bCs/>
                    <w:color w:val="000000"/>
                    <w:sz w:val="20"/>
                    <w:szCs w:val="20"/>
                  </w:rPr>
                </w:pPr>
                <w:hyperlink w:anchor="_heading=h.vutb4bnxfnt1">
                  <w:r>
                    <w:rPr>
                      <w:color w:val="000000"/>
                      <w:sz w:val="20"/>
                      <w:szCs w:val="20"/>
                    </w:rPr>
                    <w:t>9. The decision to suspend / exclude</w:t>
                  </w:r>
                </w:hyperlink>
              </w:p>
              <w:p w14:paraId="489B1829" w14:textId="77777777" w:rsidR="00AD3078" w:rsidRDefault="006155C3">
                <w:pPr>
                  <w:widowControl w:val="0"/>
                  <w:spacing w:before="60" w:after="0" w:line="240" w:lineRule="auto"/>
                  <w:rPr>
                    <w:rFonts w:ascii="Arial" w:eastAsia="Arial" w:hAnsi="Arial" w:cs="Arial"/>
                    <w:b/>
                    <w:bCs/>
                    <w:color w:val="000000"/>
                    <w:sz w:val="20"/>
                    <w:szCs w:val="20"/>
                  </w:rPr>
                </w:pPr>
                <w:hyperlink w:anchor="_heading=h.3903t0o73l0a">
                  <w:r>
                    <w:rPr>
                      <w:color w:val="000000"/>
                      <w:sz w:val="20"/>
                      <w:szCs w:val="20"/>
                    </w:rPr>
                    <w:t>10. Safeguarding</w:t>
                  </w:r>
                </w:hyperlink>
              </w:p>
              <w:p w14:paraId="00FAC007" w14:textId="77777777" w:rsidR="00AD3078" w:rsidRDefault="006155C3">
                <w:pPr>
                  <w:widowControl w:val="0"/>
                  <w:spacing w:before="60" w:after="0" w:line="240" w:lineRule="auto"/>
                  <w:rPr>
                    <w:rFonts w:ascii="Arial" w:eastAsia="Arial" w:hAnsi="Arial" w:cs="Arial"/>
                    <w:b/>
                    <w:bCs/>
                    <w:color w:val="000000"/>
                    <w:sz w:val="20"/>
                    <w:szCs w:val="20"/>
                  </w:rPr>
                </w:pPr>
                <w:hyperlink w:anchor="_heading=h.bl1lgfjllqnj">
                  <w:r>
                    <w:rPr>
                      <w:color w:val="000000"/>
                      <w:sz w:val="20"/>
                      <w:szCs w:val="20"/>
                    </w:rPr>
                    <w:t>11. Reintegration</w:t>
                  </w:r>
                </w:hyperlink>
              </w:p>
              <w:p w14:paraId="2EA58BEF" w14:textId="77777777" w:rsidR="00AD3078" w:rsidRDefault="006155C3">
                <w:pPr>
                  <w:widowControl w:val="0"/>
                  <w:spacing w:before="60" w:after="0" w:line="240" w:lineRule="auto"/>
                  <w:rPr>
                    <w:rFonts w:ascii="Arial" w:eastAsia="Arial" w:hAnsi="Arial" w:cs="Arial"/>
                    <w:b/>
                    <w:bCs/>
                    <w:color w:val="000000"/>
                    <w:sz w:val="20"/>
                    <w:szCs w:val="20"/>
                  </w:rPr>
                </w:pPr>
                <w:hyperlink w:anchor="_heading=h.xjrmuiaantnt">
                  <w:r>
                    <w:rPr>
                      <w:color w:val="000000"/>
                      <w:sz w:val="20"/>
                      <w:szCs w:val="20"/>
                    </w:rPr>
                    <w:t>12. Work Set</w:t>
                  </w:r>
                </w:hyperlink>
              </w:p>
              <w:p w14:paraId="1FF61CEE" w14:textId="77777777" w:rsidR="00AD3078" w:rsidRDefault="006155C3">
                <w:pPr>
                  <w:widowControl w:val="0"/>
                  <w:spacing w:before="60" w:after="0" w:line="240" w:lineRule="auto"/>
                  <w:rPr>
                    <w:rFonts w:ascii="Arial" w:eastAsia="Arial" w:hAnsi="Arial" w:cs="Arial"/>
                    <w:b/>
                    <w:bCs/>
                    <w:color w:val="000000"/>
                    <w:sz w:val="20"/>
                    <w:szCs w:val="20"/>
                  </w:rPr>
                </w:pPr>
                <w:hyperlink w:anchor="_heading=h.rg8wndbkb4i9">
                  <w:r>
                    <w:rPr>
                      <w:color w:val="000000"/>
                      <w:sz w:val="20"/>
                      <w:szCs w:val="20"/>
                    </w:rPr>
                    <w:t>13. Behaviour Outside School</w:t>
                  </w:r>
                </w:hyperlink>
              </w:p>
              <w:p w14:paraId="3FC091EB" w14:textId="77777777" w:rsidR="00AD3078" w:rsidRDefault="006155C3">
                <w:pPr>
                  <w:widowControl w:val="0"/>
                  <w:spacing w:before="60" w:after="0" w:line="240" w:lineRule="auto"/>
                  <w:rPr>
                    <w:rFonts w:ascii="Arial" w:eastAsia="Arial" w:hAnsi="Arial" w:cs="Arial"/>
                    <w:b/>
                    <w:bCs/>
                    <w:color w:val="000000"/>
                    <w:sz w:val="20"/>
                    <w:szCs w:val="20"/>
                  </w:rPr>
                </w:pPr>
                <w:hyperlink w:anchor="_heading=h.1hqd6kfd9ppa">
                  <w:r>
                    <w:rPr>
                      <w:color w:val="000000"/>
                      <w:sz w:val="20"/>
                      <w:szCs w:val="20"/>
                    </w:rPr>
                    <w:t>14. Pupils wit</w:t>
                  </w:r>
                  <w:r>
                    <w:rPr>
                      <w:color w:val="000000"/>
                      <w:sz w:val="20"/>
                      <w:szCs w:val="20"/>
                    </w:rPr>
                    <w:t>h Special Educational Needs and Disabled Pupils</w:t>
                  </w:r>
                </w:hyperlink>
              </w:p>
              <w:p w14:paraId="59AAB016" w14:textId="77777777" w:rsidR="00AD3078" w:rsidRDefault="006155C3">
                <w:pPr>
                  <w:widowControl w:val="0"/>
                  <w:spacing w:before="60" w:after="0" w:line="240" w:lineRule="auto"/>
                  <w:rPr>
                    <w:rFonts w:ascii="Arial" w:eastAsia="Arial" w:hAnsi="Arial" w:cs="Arial"/>
                    <w:b/>
                    <w:bCs/>
                    <w:color w:val="000000"/>
                    <w:sz w:val="20"/>
                    <w:szCs w:val="20"/>
                  </w:rPr>
                </w:pPr>
                <w:hyperlink w:anchor="_heading=h.8euis8204d99">
                  <w:r>
                    <w:rPr>
                      <w:color w:val="000000"/>
                      <w:sz w:val="20"/>
                      <w:szCs w:val="20"/>
                    </w:rPr>
                    <w:t>15. Pastoral Support</w:t>
                  </w:r>
                </w:hyperlink>
              </w:p>
              <w:p w14:paraId="043217B5" w14:textId="77777777" w:rsidR="00AD3078" w:rsidRDefault="006155C3">
                <w:pPr>
                  <w:widowControl w:val="0"/>
                  <w:spacing w:before="60" w:after="0" w:line="240" w:lineRule="auto"/>
                  <w:rPr>
                    <w:rFonts w:ascii="Arial" w:eastAsia="Arial" w:hAnsi="Arial" w:cs="Arial"/>
                    <w:b/>
                    <w:bCs/>
                    <w:color w:val="000000"/>
                    <w:sz w:val="20"/>
                    <w:szCs w:val="20"/>
                  </w:rPr>
                </w:pPr>
                <w:hyperlink w:anchor="_heading=h.va7rwjza2w68">
                  <w:r>
                    <w:rPr>
                      <w:color w:val="000000"/>
                      <w:sz w:val="20"/>
                      <w:szCs w:val="20"/>
                    </w:rPr>
                    <w:t>18. Managed Move</w:t>
                  </w:r>
                </w:hyperlink>
              </w:p>
              <w:p w14:paraId="10C43AD2" w14:textId="77777777" w:rsidR="00AD3078" w:rsidRDefault="006155C3">
                <w:pPr>
                  <w:widowControl w:val="0"/>
                  <w:spacing w:before="60" w:after="0" w:line="240" w:lineRule="auto"/>
                  <w:rPr>
                    <w:rFonts w:ascii="Arial" w:eastAsia="Arial" w:hAnsi="Arial" w:cs="Arial"/>
                    <w:b/>
                    <w:bCs/>
                    <w:color w:val="000000"/>
                    <w:sz w:val="20"/>
                    <w:szCs w:val="20"/>
                  </w:rPr>
                </w:pPr>
                <w:hyperlink w:anchor="_heading=h.mkvw01dfkg6a">
                  <w:r>
                    <w:rPr>
                      <w:color w:val="000000"/>
                      <w:sz w:val="20"/>
                      <w:szCs w:val="20"/>
                    </w:rPr>
                    <w:t xml:space="preserve">19. Removal from the School for </w:t>
                  </w:r>
                  <w:r>
                    <w:rPr>
                      <w:color w:val="000000"/>
                      <w:sz w:val="20"/>
                      <w:szCs w:val="20"/>
                    </w:rPr>
                    <w:t>Other Reasons</w:t>
                  </w:r>
                </w:hyperlink>
              </w:p>
              <w:p w14:paraId="53114961" w14:textId="77777777" w:rsidR="00AD3078" w:rsidRDefault="006155C3">
                <w:pPr>
                  <w:widowControl w:val="0"/>
                  <w:spacing w:before="60" w:after="0" w:line="240" w:lineRule="auto"/>
                  <w:rPr>
                    <w:b/>
                    <w:bCs/>
                    <w:color w:val="000000"/>
                    <w:sz w:val="20"/>
                    <w:szCs w:val="20"/>
                  </w:rPr>
                </w:pPr>
                <w:hyperlink w:anchor="_heading=h.y98pxzspfcx8">
                  <w:r>
                    <w:rPr>
                      <w:color w:val="000000"/>
                      <w:sz w:val="20"/>
                      <w:szCs w:val="20"/>
                    </w:rPr>
                    <w:t>20. Separation of Pupils for Safeguarding Purposes</w:t>
                  </w:r>
                </w:hyperlink>
              </w:p>
              <w:p w14:paraId="5938E5D4" w14:textId="77777777" w:rsidR="00AD3078" w:rsidRDefault="006155C3">
                <w:pPr>
                  <w:widowControl w:val="0"/>
                  <w:spacing w:before="60" w:after="0" w:line="240" w:lineRule="auto"/>
                  <w:rPr>
                    <w:b/>
                    <w:bCs/>
                    <w:color w:val="000000"/>
                    <w:sz w:val="20"/>
                    <w:szCs w:val="20"/>
                  </w:rPr>
                </w:pPr>
                <w:hyperlink w:anchor="_heading=h.gp9qyl3y6chg">
                  <w:r>
                    <w:rPr>
                      <w:color w:val="000000"/>
                      <w:sz w:val="20"/>
                      <w:szCs w:val="20"/>
                    </w:rPr>
                    <w:t>21. Cancelling an Exclusion</w:t>
                  </w:r>
                </w:hyperlink>
              </w:p>
              <w:p w14:paraId="76D5DCD0" w14:textId="77777777" w:rsidR="00AD3078" w:rsidRDefault="006155C3">
                <w:pPr>
                  <w:widowControl w:val="0"/>
                  <w:spacing w:before="60" w:after="0" w:line="240" w:lineRule="auto"/>
                  <w:rPr>
                    <w:b/>
                    <w:bCs/>
                    <w:color w:val="000000"/>
                    <w:sz w:val="20"/>
                    <w:szCs w:val="20"/>
                  </w:rPr>
                </w:pPr>
                <w:hyperlink w:anchor="_heading=h.vmy8xcqz89d5">
                  <w:r>
                    <w:rPr>
                      <w:color w:val="000000"/>
                      <w:sz w:val="20"/>
                      <w:szCs w:val="20"/>
                    </w:rPr>
                    <w:t>22. Evidence and Recordin</w:t>
                  </w:r>
                  <w:r>
                    <w:rPr>
                      <w:color w:val="000000"/>
                      <w:sz w:val="20"/>
                      <w:szCs w:val="20"/>
                    </w:rPr>
                    <w:t>g</w:t>
                  </w:r>
                </w:hyperlink>
              </w:p>
              <w:p w14:paraId="05851FDC" w14:textId="77777777" w:rsidR="00AD3078" w:rsidRDefault="006155C3">
                <w:pPr>
                  <w:widowControl w:val="0"/>
                  <w:spacing w:before="60" w:after="0" w:line="240" w:lineRule="auto"/>
                  <w:rPr>
                    <w:rFonts w:ascii="Arial" w:eastAsia="Arial" w:hAnsi="Arial" w:cs="Arial"/>
                    <w:b/>
                    <w:bCs/>
                    <w:color w:val="000000"/>
                    <w:sz w:val="20"/>
                    <w:szCs w:val="20"/>
                  </w:rPr>
                </w:pPr>
                <w:hyperlink w:anchor="_heading=h.dmxjo8to1zqk">
                  <w:r>
                    <w:rPr>
                      <w:color w:val="000000"/>
                      <w:sz w:val="20"/>
                      <w:szCs w:val="20"/>
                    </w:rPr>
                    <w:t>23. Equal Opportunities</w:t>
                  </w:r>
                </w:hyperlink>
              </w:p>
              <w:p w14:paraId="5F23FDFB" w14:textId="77777777" w:rsidR="00AD3078" w:rsidRDefault="006155C3">
                <w:pPr>
                  <w:widowControl w:val="0"/>
                  <w:spacing w:before="60" w:after="0" w:line="240" w:lineRule="auto"/>
                  <w:rPr>
                    <w:rFonts w:ascii="Arial" w:eastAsia="Arial" w:hAnsi="Arial" w:cs="Arial"/>
                    <w:b/>
                    <w:bCs/>
                    <w:color w:val="000000"/>
                    <w:sz w:val="20"/>
                    <w:szCs w:val="20"/>
                  </w:rPr>
                </w:pPr>
                <w:hyperlink w:anchor="_heading=h.9ja6yl2npby">
                  <w:r>
                    <w:rPr>
                      <w:color w:val="000000"/>
                      <w:sz w:val="20"/>
                      <w:szCs w:val="20"/>
                    </w:rPr>
                    <w:t>24. Reintegration Meeting</w:t>
                  </w:r>
                </w:hyperlink>
              </w:p>
              <w:p w14:paraId="02D375D5" w14:textId="77777777" w:rsidR="00AD3078" w:rsidRDefault="006155C3">
                <w:pPr>
                  <w:widowControl w:val="0"/>
                  <w:spacing w:before="60" w:after="0" w:line="240" w:lineRule="auto"/>
                  <w:rPr>
                    <w:rFonts w:ascii="Arial" w:eastAsia="Arial" w:hAnsi="Arial" w:cs="Arial"/>
                    <w:b/>
                    <w:bCs/>
                    <w:color w:val="000000"/>
                    <w:sz w:val="20"/>
                    <w:szCs w:val="20"/>
                  </w:rPr>
                </w:pPr>
                <w:hyperlink w:anchor="_heading=h.acuitvyjb6du">
                  <w:r>
                    <w:rPr>
                      <w:color w:val="000000"/>
                      <w:sz w:val="20"/>
                      <w:szCs w:val="20"/>
                    </w:rPr>
                    <w:t>25. Procedure for Appeal</w:t>
                  </w:r>
                </w:hyperlink>
                <w:r>
                  <w:fldChar w:fldCharType="end"/>
                </w:r>
              </w:p>
            </w:sdtContent>
          </w:sdt>
          <w:p w14:paraId="055C1239" w14:textId="77777777" w:rsidR="00AD3078" w:rsidRDefault="00AD3078">
            <w:pPr>
              <w:widowControl w:val="0"/>
              <w:pBdr>
                <w:top w:val="nil"/>
                <w:left w:val="nil"/>
                <w:bottom w:val="nil"/>
                <w:right w:val="nil"/>
                <w:between w:val="nil"/>
              </w:pBdr>
              <w:spacing w:after="0" w:line="276" w:lineRule="auto"/>
              <w:rPr>
                <w:color w:val="000000"/>
                <w:sz w:val="2"/>
                <w:szCs w:val="2"/>
              </w:rPr>
            </w:pPr>
          </w:p>
        </w:tc>
      </w:tr>
      <w:tr w:rsidR="00AD3078" w14:paraId="7C896B93" w14:textId="77777777">
        <w:trPr>
          <w:cantSplit/>
          <w:trHeight w:val="388"/>
        </w:trPr>
        <w:tc>
          <w:tcPr>
            <w:tcW w:w="4410" w:type="dxa"/>
            <w:tcBorders>
              <w:top w:val="single" w:sz="4" w:space="0" w:color="000000"/>
            </w:tcBorders>
            <w:tcMar>
              <w:top w:w="100" w:type="dxa"/>
              <w:left w:w="100" w:type="dxa"/>
              <w:bottom w:w="100" w:type="dxa"/>
              <w:right w:w="100" w:type="dxa"/>
            </w:tcMar>
          </w:tcPr>
          <w:p w14:paraId="34040DB8" w14:textId="77777777" w:rsidR="00AD3078" w:rsidRDefault="006155C3">
            <w:pPr>
              <w:rPr>
                <w:sz w:val="20"/>
                <w:szCs w:val="20"/>
              </w:rPr>
            </w:pPr>
            <w:r>
              <w:rPr>
                <w:sz w:val="20"/>
                <w:szCs w:val="20"/>
              </w:rPr>
              <w:t xml:space="preserve">Date created: </w:t>
            </w:r>
          </w:p>
        </w:tc>
        <w:tc>
          <w:tcPr>
            <w:tcW w:w="4620" w:type="dxa"/>
            <w:tcBorders>
              <w:top w:val="single" w:sz="4" w:space="0" w:color="000000"/>
            </w:tcBorders>
            <w:tcMar>
              <w:top w:w="100" w:type="dxa"/>
              <w:left w:w="100" w:type="dxa"/>
              <w:bottom w:w="100" w:type="dxa"/>
              <w:right w:w="100" w:type="dxa"/>
            </w:tcMar>
          </w:tcPr>
          <w:p w14:paraId="1A8F0A43" w14:textId="77777777" w:rsidR="00AD3078" w:rsidRDefault="006155C3">
            <w:pPr>
              <w:rPr>
                <w:sz w:val="20"/>
                <w:szCs w:val="20"/>
              </w:rPr>
            </w:pPr>
            <w:r>
              <w:rPr>
                <w:sz w:val="20"/>
                <w:szCs w:val="20"/>
              </w:rPr>
              <w:t>September 2026</w:t>
            </w:r>
          </w:p>
        </w:tc>
      </w:tr>
      <w:tr w:rsidR="00AD3078" w14:paraId="62CA7263" w14:textId="77777777">
        <w:trPr>
          <w:cantSplit/>
          <w:trHeight w:val="35"/>
        </w:trPr>
        <w:tc>
          <w:tcPr>
            <w:tcW w:w="4410" w:type="dxa"/>
            <w:tcMar>
              <w:top w:w="100" w:type="dxa"/>
              <w:left w:w="100" w:type="dxa"/>
              <w:bottom w:w="100" w:type="dxa"/>
              <w:right w:w="100" w:type="dxa"/>
            </w:tcMar>
          </w:tcPr>
          <w:p w14:paraId="3EF0F24B" w14:textId="77777777" w:rsidR="00AD3078" w:rsidRDefault="006155C3">
            <w:pPr>
              <w:rPr>
                <w:sz w:val="20"/>
                <w:szCs w:val="20"/>
              </w:rPr>
            </w:pPr>
            <w:r>
              <w:rPr>
                <w:sz w:val="20"/>
                <w:szCs w:val="20"/>
              </w:rPr>
              <w:t>Adoption Status:</w:t>
            </w:r>
          </w:p>
        </w:tc>
        <w:tc>
          <w:tcPr>
            <w:tcW w:w="4620" w:type="dxa"/>
            <w:tcMar>
              <w:top w:w="100" w:type="dxa"/>
              <w:left w:w="100" w:type="dxa"/>
              <w:bottom w:w="100" w:type="dxa"/>
              <w:right w:w="100" w:type="dxa"/>
            </w:tcMar>
          </w:tcPr>
          <w:p w14:paraId="3C8C05E2" w14:textId="77777777" w:rsidR="00AD3078" w:rsidRDefault="006155C3">
            <w:pPr>
              <w:jc w:val="center"/>
              <w:rPr>
                <w:sz w:val="20"/>
                <w:szCs w:val="20"/>
              </w:rPr>
            </w:pPr>
            <w:r>
              <w:rPr>
                <w:sz w:val="20"/>
                <w:szCs w:val="20"/>
              </w:rPr>
              <w:t>DRAFT</w:t>
            </w:r>
          </w:p>
        </w:tc>
      </w:tr>
      <w:tr w:rsidR="00AD3078" w14:paraId="4906E346" w14:textId="77777777">
        <w:trPr>
          <w:cantSplit/>
          <w:trHeight w:val="413"/>
        </w:trPr>
        <w:tc>
          <w:tcPr>
            <w:tcW w:w="4410" w:type="dxa"/>
            <w:tcMar>
              <w:top w:w="100" w:type="dxa"/>
              <w:left w:w="100" w:type="dxa"/>
              <w:bottom w:w="100" w:type="dxa"/>
              <w:right w:w="100" w:type="dxa"/>
            </w:tcMar>
          </w:tcPr>
          <w:p w14:paraId="0B931E27" w14:textId="77777777" w:rsidR="00AD3078" w:rsidRDefault="006155C3">
            <w:pPr>
              <w:rPr>
                <w:sz w:val="20"/>
                <w:szCs w:val="20"/>
              </w:rPr>
            </w:pPr>
            <w:r>
              <w:rPr>
                <w:sz w:val="20"/>
                <w:szCs w:val="20"/>
              </w:rPr>
              <w:t xml:space="preserve">Approved by </w:t>
            </w:r>
            <w:r>
              <w:rPr>
                <w:i/>
                <w:iCs/>
                <w:sz w:val="20"/>
                <w:szCs w:val="20"/>
              </w:rPr>
              <w:t xml:space="preserve">(in accordance with </w:t>
            </w:r>
            <w:proofErr w:type="spellStart"/>
            <w:r>
              <w:rPr>
                <w:i/>
                <w:iCs/>
                <w:sz w:val="20"/>
                <w:szCs w:val="20"/>
              </w:rPr>
              <w:t>SoD</w:t>
            </w:r>
            <w:proofErr w:type="spellEnd"/>
            <w:r>
              <w:rPr>
                <w:i/>
                <w:iCs/>
                <w:sz w:val="20"/>
                <w:szCs w:val="20"/>
              </w:rPr>
              <w:t>)</w:t>
            </w:r>
            <w:r>
              <w:rPr>
                <w:sz w:val="20"/>
                <w:szCs w:val="20"/>
              </w:rPr>
              <w:t>:</w:t>
            </w:r>
          </w:p>
        </w:tc>
        <w:tc>
          <w:tcPr>
            <w:tcW w:w="4620" w:type="dxa"/>
            <w:tcMar>
              <w:top w:w="100" w:type="dxa"/>
              <w:left w:w="100" w:type="dxa"/>
              <w:bottom w:w="100" w:type="dxa"/>
              <w:right w:w="100" w:type="dxa"/>
            </w:tcMar>
          </w:tcPr>
          <w:p w14:paraId="25F87E02" w14:textId="77777777" w:rsidR="00AD3078" w:rsidRDefault="006155C3">
            <w:pPr>
              <w:rPr>
                <w:sz w:val="20"/>
                <w:szCs w:val="20"/>
              </w:rPr>
            </w:pPr>
            <w:r>
              <w:rPr>
                <w:sz w:val="20"/>
                <w:szCs w:val="20"/>
              </w:rPr>
              <w:t xml:space="preserve"> Board of Trustees</w:t>
            </w:r>
          </w:p>
        </w:tc>
      </w:tr>
      <w:tr w:rsidR="00AD3078" w14:paraId="5AAD494A" w14:textId="77777777">
        <w:trPr>
          <w:cantSplit/>
          <w:trHeight w:val="420"/>
        </w:trPr>
        <w:tc>
          <w:tcPr>
            <w:tcW w:w="4410" w:type="dxa"/>
            <w:tcMar>
              <w:top w:w="100" w:type="dxa"/>
              <w:left w:w="100" w:type="dxa"/>
              <w:bottom w:w="100" w:type="dxa"/>
              <w:right w:w="100" w:type="dxa"/>
            </w:tcMar>
          </w:tcPr>
          <w:p w14:paraId="2849D863" w14:textId="77777777" w:rsidR="00AD3078" w:rsidRDefault="006155C3">
            <w:pPr>
              <w:rPr>
                <w:sz w:val="20"/>
                <w:szCs w:val="20"/>
              </w:rPr>
            </w:pPr>
            <w:r>
              <w:rPr>
                <w:sz w:val="20"/>
                <w:szCs w:val="20"/>
              </w:rPr>
              <w:t xml:space="preserve">Date approved: </w:t>
            </w:r>
          </w:p>
        </w:tc>
        <w:tc>
          <w:tcPr>
            <w:tcW w:w="4620" w:type="dxa"/>
            <w:tcMar>
              <w:top w:w="100" w:type="dxa"/>
              <w:left w:w="100" w:type="dxa"/>
              <w:bottom w:w="100" w:type="dxa"/>
              <w:right w:w="100" w:type="dxa"/>
            </w:tcMar>
          </w:tcPr>
          <w:p w14:paraId="33FF0D48" w14:textId="77777777" w:rsidR="00AD3078" w:rsidRDefault="006155C3">
            <w:pPr>
              <w:jc w:val="center"/>
              <w:rPr>
                <w:sz w:val="20"/>
                <w:szCs w:val="20"/>
              </w:rPr>
            </w:pPr>
            <w:r>
              <w:rPr>
                <w:sz w:val="20"/>
                <w:szCs w:val="20"/>
              </w:rPr>
              <w:t xml:space="preserve">Date: </w:t>
            </w:r>
            <w:r>
              <w:rPr>
                <w:color w:val="666666"/>
                <w:sz w:val="20"/>
                <w:szCs w:val="20"/>
              </w:rPr>
              <w:t>Click or tap to enter a date.</w:t>
            </w:r>
          </w:p>
        </w:tc>
      </w:tr>
      <w:tr w:rsidR="00AD3078" w14:paraId="42FDDF41" w14:textId="77777777">
        <w:trPr>
          <w:cantSplit/>
          <w:trHeight w:val="306"/>
        </w:trPr>
        <w:tc>
          <w:tcPr>
            <w:tcW w:w="4410" w:type="dxa"/>
            <w:tcMar>
              <w:top w:w="100" w:type="dxa"/>
              <w:left w:w="100" w:type="dxa"/>
              <w:bottom w:w="100" w:type="dxa"/>
              <w:right w:w="100" w:type="dxa"/>
            </w:tcMar>
          </w:tcPr>
          <w:p w14:paraId="44E17652" w14:textId="77777777" w:rsidR="00AD3078" w:rsidRDefault="006155C3">
            <w:pPr>
              <w:rPr>
                <w:sz w:val="20"/>
                <w:szCs w:val="20"/>
              </w:rPr>
            </w:pPr>
            <w:r>
              <w:rPr>
                <w:sz w:val="20"/>
                <w:szCs w:val="20"/>
              </w:rPr>
              <w:lastRenderedPageBreak/>
              <w:t xml:space="preserve">Review date: </w:t>
            </w:r>
          </w:p>
        </w:tc>
        <w:tc>
          <w:tcPr>
            <w:tcW w:w="4620" w:type="dxa"/>
            <w:tcMar>
              <w:top w:w="100" w:type="dxa"/>
              <w:left w:w="100" w:type="dxa"/>
              <w:bottom w:w="100" w:type="dxa"/>
              <w:right w:w="100" w:type="dxa"/>
            </w:tcMar>
          </w:tcPr>
          <w:p w14:paraId="18850AD9" w14:textId="77777777" w:rsidR="00AD3078" w:rsidRDefault="006155C3">
            <w:pPr>
              <w:rPr>
                <w:sz w:val="20"/>
                <w:szCs w:val="20"/>
              </w:rPr>
            </w:pPr>
            <w:bookmarkStart w:id="0" w:name="_heading=h.q4k9qq2o9e5o" w:colFirst="0" w:colLast="0"/>
            <w:bookmarkEnd w:id="0"/>
            <w:r>
              <w:rPr>
                <w:sz w:val="20"/>
                <w:szCs w:val="20"/>
              </w:rPr>
              <w:t>September 2027</w:t>
            </w:r>
          </w:p>
        </w:tc>
      </w:tr>
    </w:tbl>
    <w:p w14:paraId="206A91D6" w14:textId="77777777" w:rsidR="00AD3078" w:rsidRDefault="006155C3">
      <w:pPr>
        <w:pStyle w:val="Heading2"/>
        <w:numPr>
          <w:ilvl w:val="0"/>
          <w:numId w:val="4"/>
        </w:numPr>
        <w:ind w:left="284" w:hanging="284"/>
        <w:rPr>
          <w:color w:val="000000"/>
        </w:rPr>
      </w:pPr>
      <w:bookmarkStart w:id="1" w:name="_heading=h.rj1v21h4j41x" w:colFirst="0" w:colLast="0"/>
      <w:bookmarkEnd w:id="1"/>
      <w:r>
        <w:t>Policy Aims</w:t>
      </w:r>
    </w:p>
    <w:p w14:paraId="336994B0" w14:textId="77777777" w:rsidR="00AD3078" w:rsidRDefault="00AD3078">
      <w:pPr>
        <w:spacing w:after="0"/>
        <w:ind w:left="720"/>
      </w:pPr>
    </w:p>
    <w:p w14:paraId="7479E486"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New Education Trust is committed to valuing diversity and to equality of opportunity. We aim to create and promote an environment in which pupils, parents and staff are treated fairly and with respect, and feel able to contribute to the best of their abili</w:t>
      </w:r>
      <w:r>
        <w:t>ties.</w:t>
      </w:r>
    </w:p>
    <w:p w14:paraId="0340D88D"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pPr>
      <w:r>
        <w:t>This policy aligns with the</w:t>
      </w:r>
      <w:hyperlink r:id="rId9">
        <w:r>
          <w:rPr>
            <w:color w:val="1155CC"/>
            <w:u w:val="single"/>
          </w:rPr>
          <w:t xml:space="preserve"> July 2026 DfE Guidance on Suspension and Permanent Exclusion</w:t>
        </w:r>
      </w:hyperlink>
      <w:r>
        <w:t>. While the legal framework remains unchanged, t</w:t>
      </w:r>
      <w:r>
        <w:t>he school recognises greater clarity regarding:</w:t>
      </w:r>
    </w:p>
    <w:p w14:paraId="69C0540A" w14:textId="77777777" w:rsidR="00AD3078" w:rsidRDefault="006155C3">
      <w:pPr>
        <w:numPr>
          <w:ilvl w:val="0"/>
          <w:numId w:val="10"/>
        </w:numPr>
        <w:pBdr>
          <w:top w:val="none" w:sz="0" w:space="0" w:color="000000"/>
          <w:left w:val="none" w:sz="0" w:space="0" w:color="000000"/>
          <w:bottom w:val="none" w:sz="0" w:space="0" w:color="000000"/>
          <w:right w:val="none" w:sz="0" w:space="0" w:color="000000"/>
          <w:between w:val="none" w:sz="0" w:space="0" w:color="000000"/>
        </w:pBdr>
        <w:spacing w:before="280" w:after="0" w:line="240" w:lineRule="auto"/>
      </w:pPr>
      <w:r>
        <w:t>early intervention and inclusive practice</w:t>
      </w:r>
    </w:p>
    <w:p w14:paraId="1264F408" w14:textId="77777777" w:rsidR="00AD3078" w:rsidRDefault="006155C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evidencing decision-making and proportionality</w:t>
      </w:r>
    </w:p>
    <w:p w14:paraId="45F28CB4" w14:textId="77777777" w:rsidR="00AD3078" w:rsidRDefault="006155C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maintaining good order and standards of behaviour</w:t>
      </w:r>
    </w:p>
    <w:p w14:paraId="050CBF45" w14:textId="77777777" w:rsidR="00AD3078" w:rsidRDefault="006155C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consideration of SEND and safeguarding needs</w:t>
      </w:r>
    </w:p>
    <w:p w14:paraId="5512606E" w14:textId="77777777" w:rsidR="00AD3078" w:rsidRDefault="006155C3">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80" w:line="240" w:lineRule="auto"/>
      </w:pPr>
      <w:r>
        <w:t>structured use of internal suspension and alternative provision</w:t>
      </w:r>
    </w:p>
    <w:p w14:paraId="3D0A35CD" w14:textId="77777777" w:rsidR="00AD3078" w:rsidRDefault="006155C3">
      <w:r>
        <w:pict w14:anchorId="1CFF45CF">
          <v:rect id="_x0000_i1025" style="width:0;height:1.5pt" o:hralign="center" o:hrstd="t" o:hr="t" fillcolor="#a0a0a0" stroked="f"/>
        </w:pict>
      </w:r>
    </w:p>
    <w:p w14:paraId="4BBECB25" w14:textId="77777777" w:rsidR="00AD3078" w:rsidRDefault="006155C3">
      <w:pPr>
        <w:pStyle w:val="Heading2"/>
        <w:numPr>
          <w:ilvl w:val="0"/>
          <w:numId w:val="4"/>
        </w:numPr>
        <w:ind w:left="284" w:hanging="284"/>
      </w:pPr>
      <w:bookmarkStart w:id="2" w:name="_heading=h.ebtm0g6ip14i" w:colFirst="0" w:colLast="0"/>
      <w:bookmarkEnd w:id="2"/>
      <w:r>
        <w:t>Partnership with Parents / Carers</w:t>
      </w:r>
    </w:p>
    <w:p w14:paraId="718423D4" w14:textId="77777777" w:rsidR="00AD3078" w:rsidRDefault="00AD3078">
      <w:pPr>
        <w:spacing w:after="0"/>
        <w:ind w:left="720"/>
      </w:pPr>
    </w:p>
    <w:p w14:paraId="755F709A"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Parents/ Carers working in partnership with their child’s school, consistently supporting school expectations,</w:t>
      </w:r>
      <w:r>
        <w:t xml:space="preserve"> is an important factor in every child’s success.  Academy staff are well prepared to work positively in partnership with parents and carers to ensure that expectations are clear and Parents/ Carers can reinforce these with their children.  This includes e</w:t>
      </w:r>
      <w:r>
        <w:t xml:space="preserve">nsuring that Parents/ Carers are informed about the </w:t>
      </w:r>
      <w:proofErr w:type="gramStart"/>
      <w:r>
        <w:t>long term</w:t>
      </w:r>
      <w:proofErr w:type="gramEnd"/>
      <w:r>
        <w:t xml:space="preserve"> interests of children’s development, the expectations for educational settings, the purpose of education and any decisions made in response to a child’s behaviour.  The school is responsible for</w:t>
      </w:r>
      <w:r>
        <w:t xml:space="preserve"> communicating its clear expectations and standards of conduct to pupils, parents/ carers and staff.</w:t>
      </w:r>
    </w:p>
    <w:p w14:paraId="696FB60F"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A range of policies and procedures are in place to promote good behaviour and appropriate conduct.</w:t>
      </w:r>
    </w:p>
    <w:p w14:paraId="7DA84FDC"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These include: </w:t>
      </w:r>
    </w:p>
    <w:p w14:paraId="3D0CB923" w14:textId="77777777" w:rsidR="00AD3078" w:rsidRDefault="006155C3">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 xml:space="preserve">Behaviour Policy </w:t>
      </w:r>
    </w:p>
    <w:p w14:paraId="2C274444" w14:textId="77777777" w:rsidR="00AD3078" w:rsidRDefault="006155C3">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Anti-Bullying Policy</w:t>
      </w:r>
    </w:p>
    <w:p w14:paraId="7972A24A" w14:textId="77777777" w:rsidR="00AD3078" w:rsidRDefault="006155C3">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Standards and Expectations Booklet</w:t>
      </w:r>
    </w:p>
    <w:p w14:paraId="3DC8FCED" w14:textId="77777777" w:rsidR="00AD3078" w:rsidRDefault="006155C3">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Code of Conduct</w:t>
      </w:r>
    </w:p>
    <w:p w14:paraId="629BD64E" w14:textId="77777777" w:rsidR="00AD3078" w:rsidRDefault="00AD307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pPr>
    </w:p>
    <w:p w14:paraId="0F794FBF" w14:textId="77777777" w:rsidR="00AD3078" w:rsidRDefault="006155C3">
      <w:pPr>
        <w:rPr>
          <w:sz w:val="6"/>
          <w:szCs w:val="6"/>
        </w:rPr>
      </w:pPr>
      <w:r>
        <w:pict w14:anchorId="0825E182">
          <v:rect id="_x0000_i1026" style="width:0;height:1.5pt" o:hralign="center" o:hrstd="t" o:hr="t" fillcolor="#a0a0a0" stroked="f"/>
        </w:pict>
      </w:r>
      <w:r>
        <w:br/>
      </w:r>
    </w:p>
    <w:p w14:paraId="3BF50AF5" w14:textId="77777777" w:rsidR="00AD3078" w:rsidRDefault="006155C3">
      <w:pPr>
        <w:pStyle w:val="Heading2"/>
        <w:numPr>
          <w:ilvl w:val="0"/>
          <w:numId w:val="4"/>
        </w:numPr>
        <w:ind w:left="284" w:hanging="284"/>
      </w:pPr>
      <w:bookmarkStart w:id="3" w:name="_heading=h.67c5bcno796d" w:colFirst="0" w:colLast="0"/>
      <w:bookmarkEnd w:id="3"/>
      <w:r>
        <w:t>Behaviour Policy</w:t>
      </w:r>
    </w:p>
    <w:p w14:paraId="42B2382A" w14:textId="77777777" w:rsidR="00AD3078" w:rsidRDefault="00AD3078">
      <w:pPr>
        <w:spacing w:after="0"/>
        <w:ind w:left="720"/>
      </w:pPr>
    </w:p>
    <w:p w14:paraId="4A2170F5"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At New Education Trust schools, a B</w:t>
      </w:r>
      <w:r>
        <w:t>ehaviour Policy aims to promote and encourage positive relationships among all individuals through a basis of mutual respect and personal responsibility.  We adopt a values-based approach to behaviour which considers key research into child development and</w:t>
      </w:r>
      <w:r>
        <w:t xml:space="preserve"> behaviour, child and adolescent mental health and individualised therapeutic and inclusive approaches.</w:t>
      </w:r>
    </w:p>
    <w:p w14:paraId="7FF74EB3"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lastRenderedPageBreak/>
        <w:t>Schools are expected to balance the need for maintaining a calm, orderly educational environment for pupils and staff, with the understanding that behav</w:t>
      </w:r>
      <w:r>
        <w:t>iour is a learned part of child development and an evolving element of the school learning experience.  Responses to behaviour difficulties are always proportionate with a focus on developing a child’s cognitive ability to resolve challenges with increased</w:t>
      </w:r>
      <w:r>
        <w:t xml:space="preserve"> independence.</w:t>
      </w:r>
    </w:p>
    <w:p w14:paraId="4D933837" w14:textId="77777777" w:rsidR="00AD3078" w:rsidRDefault="006155C3">
      <w:pPr>
        <w:rPr>
          <w:sz w:val="24"/>
          <w:szCs w:val="24"/>
        </w:rPr>
      </w:pPr>
      <w:r>
        <w:pict w14:anchorId="3048DA65">
          <v:rect id="_x0000_i1027" style="width:0;height:1.5pt" o:hralign="center" o:hrstd="t" o:hr="t" fillcolor="#a0a0a0" stroked="f"/>
        </w:pict>
      </w:r>
    </w:p>
    <w:p w14:paraId="23E07451" w14:textId="77777777" w:rsidR="00AD3078" w:rsidRDefault="006155C3">
      <w:pPr>
        <w:pStyle w:val="Heading2"/>
        <w:numPr>
          <w:ilvl w:val="0"/>
          <w:numId w:val="4"/>
        </w:numPr>
        <w:ind w:left="284" w:hanging="284"/>
      </w:pPr>
      <w:bookmarkStart w:id="4" w:name="_heading=h.situj18jl5e8" w:colFirst="0" w:colLast="0"/>
      <w:bookmarkEnd w:id="4"/>
      <w:r>
        <w:t>Supporting Pupils to Succeed</w:t>
      </w:r>
    </w:p>
    <w:p w14:paraId="74DB1533" w14:textId="77777777" w:rsidR="00AD3078" w:rsidRDefault="00AD3078">
      <w:pPr>
        <w:ind w:left="720"/>
      </w:pPr>
    </w:p>
    <w:p w14:paraId="13C93433"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All children can demonstrate instances of inappropriate behaviour and a school behaviour policy is designed to be effective in helping all pupils develop positive, appropriate behaviour over time.</w:t>
      </w:r>
    </w:p>
    <w:p w14:paraId="28E446F2"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Schools reco</w:t>
      </w:r>
      <w:r>
        <w:t>gnise that some unexpected behaviours can sometimes be symptomatic of a deeper need for support and understanding. Headteachers and their staff never “give up” easily on a child; they want to support them to develop self-awareness and self-regulation to ac</w:t>
      </w:r>
      <w:r>
        <w:t>hieve success in their educational journey.</w:t>
      </w:r>
    </w:p>
    <w:p w14:paraId="58827127"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Data may be used to assess patterns of unexplained behaviour in pupils. Where patterns emerge, an individualised plan will be developed with the child, parent and teacher. No suspension is initiated without first</w:t>
      </w:r>
      <w:r>
        <w:t xml:space="preserve"> attempting other strategies or, in the case of a serious single incident, a proper investigation. Our aim is to include, not exclude, and we approach all unexpected and unpredictable behaviour in a supportive and positive way. </w:t>
      </w:r>
    </w:p>
    <w:p w14:paraId="1F3BCAB3"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r>
        <w:t>Our schools will ensure tha</w:t>
      </w:r>
      <w:r>
        <w:t xml:space="preserve">t all behaviour concerns are addressed through a </w:t>
      </w:r>
      <w:r>
        <w:rPr>
          <w:b/>
          <w:bCs/>
        </w:rPr>
        <w:t>graduated response</w:t>
      </w:r>
      <w:r>
        <w:t>, evidencing early intervention, support strategies, and review of impact prior to any decision to suspend or permanently exclude, in line with statutory guidance.</w:t>
      </w:r>
    </w:p>
    <w:p w14:paraId="53DBED39" w14:textId="77777777" w:rsidR="00AD3078" w:rsidRDefault="006155C3">
      <w:pPr>
        <w:rPr>
          <w:sz w:val="24"/>
          <w:szCs w:val="24"/>
        </w:rPr>
      </w:pPr>
      <w:r>
        <w:pict w14:anchorId="75EF27EF">
          <v:rect id="_x0000_i1028" style="width:0;height:1.5pt" o:hralign="center" o:hrstd="t" o:hr="t" fillcolor="#a0a0a0" stroked="f"/>
        </w:pict>
      </w:r>
    </w:p>
    <w:p w14:paraId="37288663" w14:textId="77777777" w:rsidR="00AD3078" w:rsidRDefault="006155C3">
      <w:pPr>
        <w:pStyle w:val="Heading2"/>
        <w:numPr>
          <w:ilvl w:val="0"/>
          <w:numId w:val="4"/>
        </w:numPr>
        <w:ind w:left="284" w:hanging="284"/>
      </w:pPr>
      <w:bookmarkStart w:id="5" w:name="_heading=h.pjqgdj1ahymo" w:colFirst="0" w:colLast="0"/>
      <w:bookmarkEnd w:id="5"/>
      <w:r>
        <w:t xml:space="preserve">Reasons for Suspension </w:t>
      </w:r>
      <w:r>
        <w:t>/ Exclusion</w:t>
      </w:r>
    </w:p>
    <w:p w14:paraId="28B86646" w14:textId="77777777" w:rsidR="00AD3078" w:rsidRDefault="00AD3078">
      <w:pPr>
        <w:spacing w:after="0"/>
        <w:ind w:left="720"/>
      </w:pPr>
    </w:p>
    <w:p w14:paraId="45384AE5"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A decision to suspend a pupil for a fixed period or exclude permanently is seen as a serious last resort by the school. In some serious situations, suspension or exclusion may be necessary as the physical and emotional health of all pupils and</w:t>
      </w:r>
      <w:r>
        <w:t xml:space="preserve"> staff is the primary concern.</w:t>
      </w:r>
    </w:p>
    <w:p w14:paraId="1B9E0743" w14:textId="77777777" w:rsidR="00AD3078" w:rsidRDefault="006155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verbal abuse, actual or threatened violence towards other pupils or staff;</w:t>
      </w:r>
    </w:p>
    <w:p w14:paraId="1889678A" w14:textId="77777777" w:rsidR="00AD3078" w:rsidRDefault="006155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possession or use of an illegal drug on school premises;</w:t>
      </w:r>
    </w:p>
    <w:p w14:paraId="6A55D692" w14:textId="77777777" w:rsidR="00AD3078" w:rsidRDefault="006155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persistent bullying;</w:t>
      </w:r>
    </w:p>
    <w:p w14:paraId="7A159D24" w14:textId="77777777" w:rsidR="00AD3078" w:rsidRDefault="006155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prejudice-based harassment or hatred-based acts.</w:t>
      </w:r>
    </w:p>
    <w:p w14:paraId="2A3A62D1"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 xml:space="preserve">The decision to exclude will usually follow a range of strategies and be seen as a last resort, or it will be in response to a very serious breach of school rules and policies or a disciplinary offence such </w:t>
      </w:r>
      <w:r>
        <w:t>as: </w:t>
      </w:r>
    </w:p>
    <w:p w14:paraId="1CEDC5C4" w14:textId="77777777" w:rsidR="00AD3078" w:rsidRDefault="006155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a serious breach or persistent breaches of the school's behaviour policy;</w:t>
      </w:r>
    </w:p>
    <w:p w14:paraId="68C8C1DF" w14:textId="77777777" w:rsidR="00AD3078" w:rsidRDefault="006155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 xml:space="preserve">allowing the pupil to remain in school would seriously harm the education or welfare of the pupil or </w:t>
      </w:r>
      <w:proofErr w:type="gramStart"/>
      <w:r>
        <w:t>others,  such</w:t>
      </w:r>
      <w:proofErr w:type="gramEnd"/>
      <w:r>
        <w:t xml:space="preserve"> as staff or pupils in the school;</w:t>
      </w:r>
    </w:p>
    <w:p w14:paraId="78C287C3" w14:textId="77777777" w:rsidR="00AD3078" w:rsidRDefault="00AD307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pPr>
    </w:p>
    <w:p w14:paraId="59DF386D"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 xml:space="preserve">Exclusion or suspension may be the result of persistently poor behaviour or a serious single incident.  Any exclusion or suspension will be at the decision of the </w:t>
      </w:r>
      <w:r>
        <w:lastRenderedPageBreak/>
        <w:t>Headteacher, usually in consultation with other members of the senior leadership team (partic</w:t>
      </w:r>
      <w:r>
        <w:t>ularly if they were involved in investigating the incident). </w:t>
      </w:r>
    </w:p>
    <w:p w14:paraId="63849FB6"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r>
        <w:t xml:space="preserve">A suspension or permanent exclusion will only be used </w:t>
      </w:r>
      <w:r>
        <w:rPr>
          <w:b/>
          <w:bCs/>
        </w:rPr>
        <w:t>where approaches to behaviour management have been exhausted</w:t>
      </w:r>
      <w:r>
        <w:t>, or in response to a serious breach. The school must be able to evidence the in</w:t>
      </w:r>
      <w:r>
        <w:t>terventions used, their impact, and the rationale for escalation.</w:t>
      </w:r>
    </w:p>
    <w:p w14:paraId="71EFFB74" w14:textId="77777777" w:rsidR="00AD3078" w:rsidRDefault="006155C3">
      <w:pPr>
        <w:pBdr>
          <w:top w:val="nil"/>
          <w:left w:val="nil"/>
          <w:bottom w:val="nil"/>
          <w:right w:val="nil"/>
          <w:between w:val="nil"/>
        </w:pBdr>
        <w:spacing w:after="0" w:line="240" w:lineRule="auto"/>
        <w:jc w:val="both"/>
        <w:rPr>
          <w:color w:val="000000"/>
          <w:sz w:val="22"/>
          <w:szCs w:val="22"/>
        </w:rPr>
      </w:pPr>
      <w:r>
        <w:pict w14:anchorId="72DBF475">
          <v:rect id="_x0000_i1029" style="width:0;height:1.5pt" o:hralign="center" o:hrstd="t" o:hr="t" fillcolor="#a0a0a0" stroked="f"/>
        </w:pict>
      </w:r>
    </w:p>
    <w:p w14:paraId="1E8E9863" w14:textId="77777777" w:rsidR="00AD3078" w:rsidRDefault="006155C3">
      <w:pPr>
        <w:pStyle w:val="Heading2"/>
        <w:numPr>
          <w:ilvl w:val="0"/>
          <w:numId w:val="4"/>
        </w:numPr>
        <w:ind w:left="284" w:hanging="284"/>
      </w:pPr>
      <w:bookmarkStart w:id="6" w:name="_heading=h.h4jwavo05vfd" w:colFirst="0" w:colLast="0"/>
      <w:bookmarkEnd w:id="6"/>
      <w:r>
        <w:t>Types of Suspension / Exclusion</w:t>
      </w:r>
    </w:p>
    <w:p w14:paraId="5F78E28F" w14:textId="77777777" w:rsidR="00AD3078" w:rsidRDefault="00AD3078">
      <w:pPr>
        <w:spacing w:after="0"/>
        <w:ind w:left="720"/>
        <w:rPr>
          <w:b/>
          <w:bCs/>
        </w:rPr>
      </w:pPr>
    </w:p>
    <w:p w14:paraId="3B986490" w14:textId="77777777" w:rsidR="00AD3078" w:rsidRDefault="006155C3">
      <w:pPr>
        <w:ind w:left="720"/>
        <w:rPr>
          <w:b/>
          <w:bCs/>
        </w:rPr>
      </w:pPr>
      <w:r>
        <w:rPr>
          <w:b/>
          <w:bCs/>
        </w:rPr>
        <w:t>Internal (Removal from Class)</w:t>
      </w:r>
    </w:p>
    <w:p w14:paraId="6056AF45"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r>
        <w:t>Internal removal (internal suspension) is a structured intervention and forms part of the school’s graduated behaviour response. Internal removal is when a pupil is excluded from the rest of the school and must work away from their class for a fixed amount</w:t>
      </w:r>
      <w:r>
        <w:t xml:space="preserve"> of time.  This will be in a different classroom.  An internal exclusion is a discretionary measure where a pupil’s behaviour is escalating and more serious measures need to be taken but there are not yet grounds for a suspension/ exclusion.  Typically, a </w:t>
      </w:r>
      <w:r>
        <w:t>child receiving a consequence of this level should be receiving additional support for their behaviour, intended to help them to avoid their behaviour escalating to a point where a fixed term suspension is necessary (examples: behaviour chart to address sp</w:t>
      </w:r>
      <w:r>
        <w:t>ecific behaviours causing a problem; support from the SENCo etc).</w:t>
      </w:r>
    </w:p>
    <w:p w14:paraId="788EC46D"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pPr>
      <w:r>
        <w:t>Internal suspension will:</w:t>
      </w:r>
    </w:p>
    <w:p w14:paraId="18128C0D" w14:textId="77777777" w:rsidR="00AD3078" w:rsidRDefault="006155C3">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280" w:after="0" w:line="240" w:lineRule="auto"/>
      </w:pPr>
      <w:r>
        <w:t>be time-limited and clearly recorded</w:t>
      </w:r>
    </w:p>
    <w:p w14:paraId="1A938B58" w14:textId="77777777" w:rsidR="00AD3078" w:rsidRDefault="006155C3">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include access to appropriate educational provision</w:t>
      </w:r>
    </w:p>
    <w:p w14:paraId="2955606C" w14:textId="77777777" w:rsidR="00AD3078" w:rsidRDefault="006155C3">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280" w:line="240" w:lineRule="auto"/>
      </w:pPr>
      <w:r>
        <w:t>be supported by behaviour intervention and reintegration planning</w:t>
      </w:r>
    </w:p>
    <w:p w14:paraId="4B60E494" w14:textId="77777777" w:rsidR="00AD3078" w:rsidRDefault="006155C3">
      <w:pPr>
        <w:ind w:left="720"/>
        <w:rPr>
          <w:b/>
          <w:bCs/>
        </w:rPr>
      </w:pPr>
      <w:r>
        <w:rPr>
          <w:b/>
          <w:bCs/>
        </w:rPr>
        <w:t>Suspension</w:t>
      </w:r>
    </w:p>
    <w:p w14:paraId="5F2DD755"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 xml:space="preserve">A suspension is when a child is temporarily removed from school and must remain home for a fixed amount of time.  This should be for the shortest time necessary to ensure minimal </w:t>
      </w:r>
      <w:r>
        <w:t>disruption to the child’s education, whilst mindful of the seriousness of the breach of policy. </w:t>
      </w:r>
    </w:p>
    <w:p w14:paraId="7CAAC259"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A pupil may be suspended for one or more fixed periods (up to a maximum of 45 school days in a single academic year). A suspension does not have to be for a continuous period.</w:t>
      </w:r>
    </w:p>
    <w:p w14:paraId="3DEED4CE"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 xml:space="preserve">A suspension can also be for parts of the school day. For example, if a pupil’s </w:t>
      </w:r>
      <w:r>
        <w:t>behaviour at lunchtime is disruptive, they may be suspended from the school premises for the duration of the lunchtime period. The legal requirements relating to the suspension, such as the headteacher’s duty to notify parents, apply in all cases. Lunchtim</w:t>
      </w:r>
      <w:r>
        <w:t>e suspensions are counted as half a school day in determining whether a governing board meeting is triggered.</w:t>
      </w:r>
    </w:p>
    <w:p w14:paraId="0E66C213" w14:textId="77777777" w:rsidR="00AD3078" w:rsidRDefault="00AD3078">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p>
    <w:p w14:paraId="17300136" w14:textId="77777777" w:rsidR="00AD3078" w:rsidRDefault="006155C3">
      <w:pPr>
        <w:ind w:left="720"/>
        <w:rPr>
          <w:b/>
          <w:bCs/>
        </w:rPr>
      </w:pPr>
      <w:r>
        <w:rPr>
          <w:b/>
          <w:bCs/>
        </w:rPr>
        <w:t>Permanent Exclusion</w:t>
      </w:r>
    </w:p>
    <w:p w14:paraId="27AB31D6"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 xml:space="preserve">A permanent exclusion is when a pupil is no longer allowed to attend a school (unless the pupil is reinstated). The decision </w:t>
      </w:r>
      <w:r>
        <w:t xml:space="preserve">to exclude a pupil permanently should only be taken: </w:t>
      </w:r>
    </w:p>
    <w:p w14:paraId="6DA3A193"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lastRenderedPageBreak/>
        <w:t xml:space="preserve">• in response to a serious breach or persistent breaches of the school's behaviour policy; and </w:t>
      </w:r>
    </w:p>
    <w:p w14:paraId="397A8581"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 xml:space="preserve">• where allowing the pupil to remain in school would seriously harm the education or welfare of the pupil </w:t>
      </w:r>
      <w:r>
        <w:t>or others such as staff or pupils in the school.</w:t>
      </w:r>
    </w:p>
    <w:p w14:paraId="2C607E81"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This is a very serious decision and the CEO of the MAT will consult with senior leaders and Chair of the Governors.</w:t>
      </w:r>
    </w:p>
    <w:p w14:paraId="0CE1F023" w14:textId="77777777" w:rsidR="00AD3078" w:rsidRDefault="006155C3">
      <w:r>
        <w:pict w14:anchorId="7B3E176C">
          <v:rect id="_x0000_i1030" style="width:0;height:1.5pt" o:hralign="center" o:hrstd="t" o:hr="t" fillcolor="#a0a0a0" stroked="f"/>
        </w:pict>
      </w:r>
    </w:p>
    <w:p w14:paraId="52C616F3" w14:textId="77777777" w:rsidR="00AD3078" w:rsidRDefault="006155C3">
      <w:pPr>
        <w:pStyle w:val="Heading2"/>
        <w:numPr>
          <w:ilvl w:val="0"/>
          <w:numId w:val="4"/>
        </w:numPr>
        <w:ind w:left="284" w:hanging="284"/>
      </w:pPr>
      <w:bookmarkStart w:id="7" w:name="_heading=h.z4ndgxryg0vh" w:colFirst="0" w:colLast="0"/>
      <w:bookmarkEnd w:id="7"/>
      <w:r>
        <w:t>Persistent or Cumulative Problems</w:t>
      </w:r>
    </w:p>
    <w:p w14:paraId="146B56E0" w14:textId="77777777" w:rsidR="00AD3078" w:rsidRDefault="00AD3078">
      <w:pPr>
        <w:spacing w:after="0"/>
        <w:ind w:left="720"/>
      </w:pPr>
    </w:p>
    <w:p w14:paraId="74F086BE"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Suspension and internal/fixed-term exclusion may be us</w:t>
      </w:r>
      <w:r>
        <w:t>ed in response to a persistent poor behaviour which breaches school rules and policies.  In the most serious cases where the problem persists and there is no improvement a permanent exclusion may be necessary.  These would be imposed only when the school h</w:t>
      </w:r>
      <w:r>
        <w:t>ad already offered and implemented a range of support and management strategies. These could be joint action plans with parents, child and school, pastoral support plans, behaviour intervention with the SENCo, target setting, home/school communication book</w:t>
      </w:r>
      <w:r>
        <w:t xml:space="preserve"> etc. </w:t>
      </w:r>
    </w:p>
    <w:p w14:paraId="4A6E3024"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The length of a suspension will depend upon a number of factors, such as the severity of the incident, and the likely impact on the child’s learning and ability to succeed on returning to school.  Such decisions will be made in the best interests of</w:t>
      </w:r>
      <w:r>
        <w:t xml:space="preserve"> the child, whilst also mindful of the need to maintain order and reinforce the rules and expectations of the school in a clear and consistent way. </w:t>
      </w:r>
    </w:p>
    <w:p w14:paraId="0039BE82"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The school will ensure that all support strategies are clearly recorded, reviewed, and adapted as part of a</w:t>
      </w:r>
      <w:r>
        <w:t xml:space="preserve"> structured intervention pathway prior to escalation.</w:t>
      </w:r>
    </w:p>
    <w:p w14:paraId="424E2425" w14:textId="77777777" w:rsidR="00AD3078" w:rsidRDefault="006155C3">
      <w:r>
        <w:pict w14:anchorId="1815923B">
          <v:rect id="_x0000_i1031" style="width:0;height:1.5pt" o:hralign="center" o:hrstd="t" o:hr="t" fillcolor="#a0a0a0" stroked="f"/>
        </w:pict>
      </w:r>
    </w:p>
    <w:p w14:paraId="4ACD6BA5" w14:textId="77777777" w:rsidR="00AD3078" w:rsidRDefault="006155C3">
      <w:pPr>
        <w:pStyle w:val="Heading2"/>
        <w:numPr>
          <w:ilvl w:val="0"/>
          <w:numId w:val="4"/>
        </w:numPr>
        <w:ind w:left="426" w:hanging="426"/>
      </w:pPr>
      <w:bookmarkStart w:id="8" w:name="_heading=h.offehnhw018f" w:colFirst="0" w:colLast="0"/>
      <w:bookmarkEnd w:id="8"/>
      <w:r>
        <w:t>Single Incident</w:t>
      </w:r>
    </w:p>
    <w:p w14:paraId="45A776C0" w14:textId="77777777" w:rsidR="00AD3078" w:rsidRDefault="00AD3078">
      <w:pPr>
        <w:spacing w:after="0"/>
        <w:ind w:left="720"/>
      </w:pPr>
    </w:p>
    <w:p w14:paraId="44838D79"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Suspension and internal/fixed-term exclusion may be used in response to a very serious breach of school rules and policies or a disciplinary offence. In the most serious cases where the problem persists and there is no improvement a permanent exclusion may</w:t>
      </w:r>
      <w:r>
        <w:t xml:space="preserve"> be necessary. In such cases the Head Teacher or a designated senior leader will investigate the incident and consider all evidence to support the allegation, taking account of the school’s policies. The pupil will be encouraged to give his/her version of </w:t>
      </w:r>
      <w:r>
        <w:t>events and the Head Teacher will check whether the incident may have been provoked, for example by bullying or racial harassment. The Governing Body will be informed of all suspensions/exclusions on a termly basis; and additional consultation may also take</w:t>
      </w:r>
      <w:r>
        <w:t xml:space="preserve"> place about key incidents with the Chair of Governors. </w:t>
      </w:r>
    </w:p>
    <w:p w14:paraId="05D7401D"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r>
        <w:t xml:space="preserve">The Headteacher will also consider any </w:t>
      </w:r>
      <w:r>
        <w:rPr>
          <w:b/>
          <w:bCs/>
        </w:rPr>
        <w:t>contributing factors</w:t>
      </w:r>
      <w:r>
        <w:t>, including safeguarding, SEND needs, or contextual influences, before making a decision.</w:t>
      </w:r>
    </w:p>
    <w:p w14:paraId="2DC35441" w14:textId="77777777" w:rsidR="00AD3078" w:rsidRDefault="006155C3">
      <w:r>
        <w:pict w14:anchorId="0E97AEFD">
          <v:rect id="_x0000_i1032" style="width:0;height:1.5pt" o:hralign="center" o:hrstd="t" o:hr="t" fillcolor="#a0a0a0" stroked="f"/>
        </w:pict>
      </w:r>
    </w:p>
    <w:p w14:paraId="39841289" w14:textId="77777777" w:rsidR="00AD3078" w:rsidRDefault="006155C3">
      <w:pPr>
        <w:pStyle w:val="Heading2"/>
        <w:numPr>
          <w:ilvl w:val="0"/>
          <w:numId w:val="4"/>
        </w:numPr>
        <w:ind w:left="426" w:hanging="426"/>
      </w:pPr>
      <w:bookmarkStart w:id="9" w:name="_heading=h.vutb4bnxfnt1" w:colFirst="0" w:colLast="0"/>
      <w:bookmarkEnd w:id="9"/>
      <w:r>
        <w:t>The decision to suspend / exclude</w:t>
      </w:r>
    </w:p>
    <w:p w14:paraId="1AC7F234" w14:textId="77777777" w:rsidR="00AD3078" w:rsidRDefault="00AD3078">
      <w:pPr>
        <w:spacing w:after="0"/>
        <w:ind w:left="720"/>
      </w:pPr>
    </w:p>
    <w:p w14:paraId="03A385F8"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If the Headteacher decides to exclude a pupil he/she will:</w:t>
      </w:r>
    </w:p>
    <w:p w14:paraId="33571CBD"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ensure that there is sufficient recorded evidence to support the decision;</w:t>
      </w:r>
    </w:p>
    <w:p w14:paraId="2FF6477E"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explain the decision to the pupil if the pupil is in the state of mind to listen to the decision;</w:t>
      </w:r>
    </w:p>
    <w:p w14:paraId="16217588"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lastRenderedPageBreak/>
        <w:t>without delay contact the parents, explain the decision and ask that the child be collected;</w:t>
      </w:r>
    </w:p>
    <w:p w14:paraId="1CA6A432"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send a letter to the parents confirming the reasons for the suspe</w:t>
      </w:r>
      <w:r>
        <w:t>nsion/exclusion and whether it is a permanent or temporary;</w:t>
      </w:r>
    </w:p>
    <w:p w14:paraId="3FF5D813"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the length of the suspension and any terms or conditions agreed for the pupil’s return;</w:t>
      </w:r>
    </w:p>
    <w:p w14:paraId="556F166F"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in cases of more than a day’s suspension, ensure that appropriate work is set and that arrangements are in p</w:t>
      </w:r>
      <w:r>
        <w:t>lace for it to be marked;</w:t>
      </w:r>
    </w:p>
    <w:p w14:paraId="21BC8FBF"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plan how to address the pupil’s needs and integration back into their class on his/her return;</w:t>
      </w:r>
    </w:p>
    <w:p w14:paraId="59E349AF"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plan a meeting with parents and pupil on his/her return to be conducted by a suitable senior member of staff;</w:t>
      </w:r>
    </w:p>
    <w:p w14:paraId="7F8E9A5C"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If the decision to exclud</w:t>
      </w:r>
      <w:r>
        <w:t>e has been made, the Headteacher must also notify the local authority without delay. This must be done regardless of the length of a suspension.</w:t>
      </w:r>
    </w:p>
    <w:p w14:paraId="1CC4A8D2" w14:textId="77777777" w:rsidR="00AD3078" w:rsidRDefault="006155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demonstrate that the decision is lawful, reasonable, fair and proportionate, with a clear recorded rationale</w:t>
      </w:r>
    </w:p>
    <w:p w14:paraId="3F8D3B42" w14:textId="77777777" w:rsidR="00AD3078" w:rsidRDefault="006155C3">
      <w:r>
        <w:pict w14:anchorId="6C20D34F">
          <v:rect id="_x0000_i1033" style="width:0;height:1.5pt" o:hralign="center" o:hrstd="t" o:hr="t" fillcolor="#a0a0a0" stroked="f"/>
        </w:pict>
      </w:r>
    </w:p>
    <w:p w14:paraId="28272AF2" w14:textId="77777777" w:rsidR="00AD3078" w:rsidRDefault="006155C3">
      <w:pPr>
        <w:pStyle w:val="Heading2"/>
        <w:numPr>
          <w:ilvl w:val="0"/>
          <w:numId w:val="4"/>
        </w:numPr>
        <w:ind w:left="426" w:hanging="426"/>
      </w:pPr>
      <w:bookmarkStart w:id="10" w:name="_heading=h.3903t0o73l0a" w:colFirst="0" w:colLast="0"/>
      <w:bookmarkEnd w:id="10"/>
      <w:r>
        <w:t>Safeguarding</w:t>
      </w:r>
    </w:p>
    <w:p w14:paraId="01A742D6" w14:textId="77777777" w:rsidR="00AD3078" w:rsidRDefault="00AD3078">
      <w:pPr>
        <w:pBdr>
          <w:top w:val="none" w:sz="0" w:space="0" w:color="000000"/>
          <w:left w:val="none" w:sz="0" w:space="0" w:color="000000"/>
          <w:bottom w:val="none" w:sz="0" w:space="0" w:color="000000"/>
          <w:right w:val="none" w:sz="0" w:space="0" w:color="000000"/>
          <w:between w:val="none" w:sz="0" w:space="0" w:color="000000"/>
        </w:pBdr>
        <w:spacing w:after="0" w:line="240" w:lineRule="auto"/>
      </w:pPr>
    </w:p>
    <w:p w14:paraId="08BBB2B5"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 xml:space="preserve">In some circumstances a child may be </w:t>
      </w:r>
      <w:r>
        <w:rPr>
          <w:i/>
          <w:iCs/>
        </w:rPr>
        <w:t>temporarily removed from school for</w:t>
      </w:r>
      <w:r>
        <w:t xml:space="preserve"> </w:t>
      </w:r>
      <w:r>
        <w:rPr>
          <w:i/>
          <w:iCs/>
        </w:rPr>
        <w:t>safeguarding purposes</w:t>
      </w:r>
      <w:r>
        <w:t>. In this instance, the reason is not recorded as a suspension or exclusion and will be determined as being in the interests of the child in partnership with other agencies or parents.</w:t>
      </w:r>
    </w:p>
    <w:p w14:paraId="23C38E9E"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A suspension will not be enforced if doing so may put the safety of the</w:t>
      </w:r>
      <w:r>
        <w:t xml:space="preserve"> pupil at risk.  In cases where Parents/ Carers will not comply by, for example, refusing to collect the child, the child’s welfare is the priority.  In this situation, depending on the reason for suspension, the school may consider an internal exclusion u</w:t>
      </w:r>
      <w:r>
        <w:t>ntil the end of the day, implementing the original suspension decision from the time the child is collected from school, or, in more severe circumstances the school may contact Social Services and/or the Police to safely take the pupil off site.</w:t>
      </w:r>
    </w:p>
    <w:p w14:paraId="2042FF9B" w14:textId="77777777" w:rsidR="00AD3078" w:rsidRDefault="006155C3">
      <w:pPr>
        <w:pBdr>
          <w:top w:val="nil"/>
          <w:left w:val="nil"/>
          <w:bottom w:val="nil"/>
          <w:right w:val="nil"/>
          <w:between w:val="nil"/>
        </w:pBdr>
        <w:spacing w:before="200" w:after="200"/>
        <w:jc w:val="both"/>
        <w:rPr>
          <w:color w:val="000000"/>
          <w:sz w:val="24"/>
          <w:szCs w:val="24"/>
        </w:rPr>
      </w:pPr>
      <w:r>
        <w:pict w14:anchorId="42576EC4">
          <v:rect id="_x0000_i1034" style="width:0;height:1.5pt" o:hralign="center" o:hrstd="t" o:hr="t" fillcolor="#a0a0a0" stroked="f"/>
        </w:pict>
      </w:r>
    </w:p>
    <w:p w14:paraId="4554A1FB" w14:textId="77777777" w:rsidR="00AD3078" w:rsidRDefault="006155C3">
      <w:pPr>
        <w:pStyle w:val="Heading2"/>
        <w:numPr>
          <w:ilvl w:val="0"/>
          <w:numId w:val="4"/>
        </w:numPr>
        <w:ind w:left="426" w:hanging="437"/>
      </w:pPr>
      <w:bookmarkStart w:id="11" w:name="_heading=h.bl1lgfjllqnj" w:colFirst="0" w:colLast="0"/>
      <w:bookmarkEnd w:id="11"/>
      <w:r>
        <w:t>Reintegr</w:t>
      </w:r>
      <w:r>
        <w:t>ation</w:t>
      </w:r>
    </w:p>
    <w:p w14:paraId="5AD6F303" w14:textId="77777777" w:rsidR="00AD3078" w:rsidRDefault="00AD3078">
      <w:pPr>
        <w:spacing w:after="0"/>
        <w:ind w:left="720"/>
      </w:pPr>
    </w:p>
    <w:p w14:paraId="03358D90"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After suspension the pupil and parent/carer will be requested to attend a reintegration meeting with a senior member of staff.  At this meeting the behaviour leading to suspension will be discussed and targets will be set for improvement. Support ar</w:t>
      </w:r>
      <w:r>
        <w:t>ound behaviour will also be discussed. The meeting will be recorded on the school reintegration form and a copy retained by the parent/carer, child and school. </w:t>
      </w:r>
    </w:p>
    <w:p w14:paraId="38848E20"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pPr>
      <w:r>
        <w:t>Reintegration will form part of a structured plan which:</w:t>
      </w:r>
    </w:p>
    <w:p w14:paraId="504D4009" w14:textId="77777777" w:rsidR="00AD3078" w:rsidRDefault="006155C3">
      <w:pPr>
        <w:numPr>
          <w:ilvl w:val="0"/>
          <w:numId w:val="7"/>
        </w:numPr>
        <w:pBdr>
          <w:top w:val="none" w:sz="0" w:space="0" w:color="000000"/>
          <w:left w:val="none" w:sz="0" w:space="0" w:color="000000"/>
          <w:bottom w:val="none" w:sz="0" w:space="0" w:color="000000"/>
          <w:right w:val="none" w:sz="0" w:space="0" w:color="000000"/>
          <w:between w:val="none" w:sz="0" w:space="0" w:color="000000"/>
        </w:pBdr>
        <w:spacing w:before="280" w:after="0" w:line="240" w:lineRule="auto"/>
      </w:pPr>
      <w:r>
        <w:t>supports a fresh start</w:t>
      </w:r>
    </w:p>
    <w:p w14:paraId="3E9E8504" w14:textId="77777777" w:rsidR="00AD3078" w:rsidRDefault="006155C3">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addresses behaviour triggers</w:t>
      </w:r>
    </w:p>
    <w:p w14:paraId="6261CBEF" w14:textId="77777777" w:rsidR="00AD3078" w:rsidRDefault="006155C3">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includes regular review points</w:t>
      </w:r>
    </w:p>
    <w:p w14:paraId="5CD975BA" w14:textId="77777777" w:rsidR="00AD3078" w:rsidRDefault="006155C3">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involves Parents/ Carers and relevant agencies where appropriate</w:t>
      </w:r>
    </w:p>
    <w:p w14:paraId="1D863B9C" w14:textId="77777777" w:rsidR="00AD3078" w:rsidRDefault="006155C3">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280" w:line="240" w:lineRule="auto"/>
      </w:pPr>
      <w:r>
        <w:t>includes child voice where possible.</w:t>
      </w:r>
    </w:p>
    <w:p w14:paraId="41A99DBF" w14:textId="77777777" w:rsidR="00AD3078" w:rsidRDefault="006155C3">
      <w:r>
        <w:pict w14:anchorId="2F4132CA">
          <v:rect id="_x0000_i1035" style="width:0;height:1.5pt" o:hralign="center" o:hrstd="t" o:hr="t" fillcolor="#a0a0a0" stroked="f"/>
        </w:pict>
      </w:r>
    </w:p>
    <w:p w14:paraId="23158C91" w14:textId="77777777" w:rsidR="00AD3078" w:rsidRDefault="006155C3">
      <w:pPr>
        <w:pStyle w:val="Heading2"/>
        <w:numPr>
          <w:ilvl w:val="0"/>
          <w:numId w:val="4"/>
        </w:numPr>
        <w:ind w:left="426" w:hanging="426"/>
      </w:pPr>
      <w:bookmarkStart w:id="12" w:name="_heading=h.xjrmuiaantnt" w:colFirst="0" w:colLast="0"/>
      <w:bookmarkEnd w:id="12"/>
      <w:r>
        <w:lastRenderedPageBreak/>
        <w:t>Work Set</w:t>
      </w:r>
    </w:p>
    <w:p w14:paraId="0CBE6AE6" w14:textId="77777777" w:rsidR="00AD3078" w:rsidRDefault="00AD3078">
      <w:pPr>
        <w:spacing w:after="0"/>
        <w:ind w:left="720"/>
      </w:pPr>
    </w:p>
    <w:p w14:paraId="0017B354"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 xml:space="preserve">When a pupil is suspended for more than one day, work should be set by the school within a reasonable time-scale and this should be returned to the school when the suspension is over.  If a child is suspended at the end of a school day, then it may not be </w:t>
      </w:r>
      <w:r>
        <w:t xml:space="preserve">possible to arrange for work to be set until the following morning.  </w:t>
      </w:r>
    </w:p>
    <w:p w14:paraId="284752B7"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It is important that during a suspension, pupils still receive their education. Headteachers should take steps to ensure that work is set and marked for pupils during the first five scho</w:t>
      </w:r>
      <w:r>
        <w:t>ol days of a suspension. This can include utilising any online pathways such as Google Classroom or Oak National Academy.  The school’s legal duties to pupils with disabilities or SEN remain in force, for example, to make reasonable adjustments in how they</w:t>
      </w:r>
      <w:r>
        <w:t xml:space="preserve"> support disabled pupils during this period. Any time a pupil is sent home due to disciplinary reasons and asked to log on or utilise online pathways should always be recorded as a suspension.</w:t>
      </w:r>
    </w:p>
    <w:p w14:paraId="533D0EF9"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 xml:space="preserve">The school will ensure that work is </w:t>
      </w:r>
      <w:r>
        <w:rPr>
          <w:b/>
          <w:bCs/>
        </w:rPr>
        <w:t>accessible, appropriate, an</w:t>
      </w:r>
      <w:r>
        <w:rPr>
          <w:b/>
          <w:bCs/>
        </w:rPr>
        <w:t>d marked</w:t>
      </w:r>
      <w:r>
        <w:t>, and will consider additional support for pupils with SEND or vulnerabilities.</w:t>
      </w:r>
    </w:p>
    <w:p w14:paraId="68743B6C" w14:textId="77777777" w:rsidR="00AD3078" w:rsidRDefault="006155C3">
      <w:r>
        <w:pict w14:anchorId="73464433">
          <v:rect id="_x0000_i1036" style="width:0;height:1.5pt" o:hralign="center" o:hrstd="t" o:hr="t" fillcolor="#a0a0a0" stroked="f"/>
        </w:pict>
      </w:r>
    </w:p>
    <w:p w14:paraId="4E189DB0" w14:textId="77777777" w:rsidR="00AD3078" w:rsidRDefault="006155C3">
      <w:pPr>
        <w:pStyle w:val="Heading2"/>
        <w:numPr>
          <w:ilvl w:val="0"/>
          <w:numId w:val="4"/>
        </w:numPr>
        <w:ind w:left="426" w:hanging="426"/>
      </w:pPr>
      <w:bookmarkStart w:id="13" w:name="_heading=h.rg8wndbkb4i9" w:colFirst="0" w:colLast="0"/>
      <w:bookmarkEnd w:id="13"/>
      <w:r>
        <w:t>Behaviour Outside School</w:t>
      </w:r>
    </w:p>
    <w:p w14:paraId="216641A8" w14:textId="77777777" w:rsidR="00AD3078" w:rsidRDefault="006155C3">
      <w:pPr>
        <w:pBdr>
          <w:top w:val="nil"/>
          <w:left w:val="nil"/>
          <w:bottom w:val="nil"/>
          <w:right w:val="nil"/>
          <w:between w:val="nil"/>
        </w:pBdr>
        <w:spacing w:before="200" w:after="0"/>
        <w:rPr>
          <w:color w:val="000000"/>
        </w:rPr>
      </w:pPr>
      <w:r>
        <w:t>Pupils’ behaviour outside school e.g., on school trips, at sports events, is subject to the school’s behaviour policy.  Unacceptable behaviou</w:t>
      </w:r>
      <w:r>
        <w:t>r in such circumstances will be dealt with as if it had taken place in school and additionally, this includes any serious breach of policy which could ‘bring the school into disrepute’. </w:t>
      </w:r>
      <w:r>
        <w:pict w14:anchorId="69B34A0B">
          <v:rect id="_x0000_i1037" style="width:0;height:1.5pt" o:hralign="center" o:hrstd="t" o:hr="t" fillcolor="#a0a0a0" stroked="f"/>
        </w:pict>
      </w:r>
    </w:p>
    <w:p w14:paraId="6AF17FE7" w14:textId="77777777" w:rsidR="00AD3078" w:rsidRDefault="006155C3">
      <w:pPr>
        <w:pStyle w:val="Heading2"/>
        <w:numPr>
          <w:ilvl w:val="0"/>
          <w:numId w:val="4"/>
        </w:numPr>
        <w:ind w:left="426" w:hanging="437"/>
      </w:pPr>
      <w:bookmarkStart w:id="14" w:name="_heading=h.1hqd6kfd9ppa" w:colFirst="0" w:colLast="0"/>
      <w:bookmarkEnd w:id="14"/>
      <w:r>
        <w:t>Pupils with Special Educational Needs and Disabled Pupils</w:t>
      </w:r>
    </w:p>
    <w:p w14:paraId="4DC4B1C2" w14:textId="77777777" w:rsidR="00AD3078" w:rsidRDefault="00AD3078">
      <w:pPr>
        <w:spacing w:after="0"/>
        <w:ind w:left="720"/>
      </w:pPr>
    </w:p>
    <w:p w14:paraId="0DE44E99"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8"/>
        <w:jc w:val="both"/>
      </w:pPr>
      <w:r>
        <w:t>The school must take account of any special educational needs when considering whether or not to suspend/exclude a pupil.  The Headteacher should ensure that reasonable steps, in line with policy</w:t>
      </w:r>
    </w:p>
    <w:p w14:paraId="0AA8055F"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have been taken by the school to respond to a pupil’s disabi</w:t>
      </w:r>
      <w:r>
        <w:t>lity so the pupil is not treated less favourably for reasons related to the disability.</w:t>
      </w:r>
    </w:p>
    <w:p w14:paraId="6AE2D36B"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jc w:val="both"/>
      </w:pPr>
      <w:r>
        <w:t>The school will:</w:t>
      </w:r>
    </w:p>
    <w:p w14:paraId="1AD59BC5" w14:textId="77777777" w:rsidR="00AD3078" w:rsidRDefault="006155C3">
      <w:pPr>
        <w:numPr>
          <w:ilvl w:val="0"/>
          <w:numId w:val="8"/>
        </w:numPr>
        <w:pBdr>
          <w:top w:val="none" w:sz="0" w:space="0" w:color="000000"/>
          <w:left w:val="none" w:sz="0" w:space="0" w:color="000000"/>
          <w:bottom w:val="none" w:sz="0" w:space="0" w:color="000000"/>
          <w:right w:val="none" w:sz="0" w:space="0" w:color="000000"/>
          <w:between w:val="none" w:sz="0" w:space="0" w:color="000000"/>
        </w:pBdr>
        <w:spacing w:before="280" w:after="0" w:line="240" w:lineRule="auto"/>
        <w:jc w:val="both"/>
      </w:pPr>
      <w:r>
        <w:t>proactively identify unmet SEND needs</w:t>
      </w:r>
    </w:p>
    <w:p w14:paraId="0FC59DA0" w14:textId="77777777" w:rsidR="00AD3078" w:rsidRDefault="006155C3">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make and evidence reasonable adjustments</w:t>
      </w:r>
    </w:p>
    <w:p w14:paraId="2B3CBA6C" w14:textId="77777777" w:rsidR="00AD3078" w:rsidRDefault="006155C3">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t>review support plans prior to exclusion decisions</w:t>
      </w:r>
    </w:p>
    <w:p w14:paraId="53C89D05" w14:textId="77777777" w:rsidR="00AD3078" w:rsidRDefault="006155C3">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280" w:line="240" w:lineRule="auto"/>
        <w:jc w:val="both"/>
      </w:pPr>
      <w:r>
        <w:t>engage with external agencies where appropriate</w:t>
      </w:r>
    </w:p>
    <w:p w14:paraId="523CB636"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jc w:val="both"/>
      </w:pPr>
      <w:r>
        <w:t>Decisions to suspend or exclude will take full account of whether a pupil’s needs have been appropriately assessed and supported.</w:t>
      </w:r>
    </w:p>
    <w:p w14:paraId="7E2716F2" w14:textId="77777777" w:rsidR="00AD3078" w:rsidRDefault="006155C3">
      <w:r>
        <w:pict w14:anchorId="1E2C6908">
          <v:rect id="_x0000_i1038" style="width:0;height:1.5pt" o:hralign="center" o:hrstd="t" o:hr="t" fillcolor="#a0a0a0" stroked="f"/>
        </w:pict>
      </w:r>
    </w:p>
    <w:p w14:paraId="3CA8403E" w14:textId="77777777" w:rsidR="00AD3078" w:rsidRDefault="006155C3">
      <w:pPr>
        <w:pStyle w:val="Heading2"/>
        <w:numPr>
          <w:ilvl w:val="0"/>
          <w:numId w:val="4"/>
        </w:numPr>
        <w:ind w:left="426" w:hanging="426"/>
      </w:pPr>
      <w:bookmarkStart w:id="15" w:name="_heading=h.8euis8204d99" w:colFirst="0" w:colLast="0"/>
      <w:bookmarkEnd w:id="15"/>
      <w:r>
        <w:t>Pastoral Support</w:t>
      </w:r>
    </w:p>
    <w:p w14:paraId="1DB56DF5" w14:textId="77777777" w:rsidR="00AD3078" w:rsidRDefault="00AD3078">
      <w:pPr>
        <w:spacing w:after="0"/>
        <w:ind w:left="720"/>
      </w:pPr>
    </w:p>
    <w:p w14:paraId="544804E7"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Pastoral support may be necessary if a pupil’s behaviour at school means that he/she: is at risk of perman</w:t>
      </w:r>
      <w:r>
        <w:t xml:space="preserve">ent exclusion; has had a number of suspensions but their </w:t>
      </w:r>
      <w:r>
        <w:lastRenderedPageBreak/>
        <w:t>behaviour is not improving; or is behaving in ways that hinder their progress and achievement in school.</w:t>
      </w:r>
    </w:p>
    <w:p w14:paraId="69F0F4E5"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r>
        <w:t>Pastoral support plans will include clearly defined outcomes, review points, and evidence of i</w:t>
      </w:r>
      <w:r>
        <w:t>mpact.</w:t>
      </w:r>
    </w:p>
    <w:p w14:paraId="5BEFF35F" w14:textId="77777777" w:rsidR="00AD3078" w:rsidRDefault="006155C3">
      <w:r>
        <w:pict w14:anchorId="28C61400">
          <v:rect id="_x0000_i1039" style="width:0;height:1.5pt" o:hralign="center" o:hrstd="t" o:hr="t" fillcolor="#a0a0a0" stroked="f"/>
        </w:pict>
      </w:r>
    </w:p>
    <w:p w14:paraId="1F5858DB" w14:textId="77777777" w:rsidR="00AD3078" w:rsidRDefault="006155C3">
      <w:pPr>
        <w:pStyle w:val="Heading2"/>
        <w:numPr>
          <w:ilvl w:val="1"/>
          <w:numId w:val="2"/>
        </w:numPr>
        <w:ind w:left="426" w:hanging="426"/>
      </w:pPr>
      <w:bookmarkStart w:id="16" w:name="_heading=h.va7rwjza2w68" w:colFirst="0" w:colLast="0"/>
      <w:bookmarkEnd w:id="16"/>
      <w:r>
        <w:t>Managed Move</w:t>
      </w:r>
    </w:p>
    <w:p w14:paraId="1B559F21" w14:textId="77777777" w:rsidR="00AD3078" w:rsidRDefault="00AD3078">
      <w:pPr>
        <w:spacing w:after="0"/>
        <w:ind w:left="1440"/>
      </w:pPr>
    </w:p>
    <w:p w14:paraId="3EC67919"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In cases where the Headteacher and Parents/ Carers agree that the progress of the pupil has been unsatisfactory and the pupil is unwilling or unable to profit from the educational opportunities offered, or if a parent/carer’s failure to engage in strategie</w:t>
      </w:r>
      <w:r>
        <w:t>s implemented by the school are resulting in a continuing pattern of poor behaviour or lack of improvement in behaviour, the Headteacher may consult with the Local Authority and propose a managed move to another school. A managed move is used to initiate a</w:t>
      </w:r>
      <w:r>
        <w:t xml:space="preserve"> process which leads to the transfer of a pupil to another mainstream school permanently. Managed moves should be voluntary and agreed with all parties involved, including the parents and the admission authority of the new school. The school should be able</w:t>
      </w:r>
      <w:r>
        <w:t xml:space="preserve"> to evidence that appropriate initial intervention has been carried out, including, where relevant, multi-agency support, or any statutory assessments were done or explored prior to a managed move. This is not exclusion and, in such cases, the Headteacher </w:t>
      </w:r>
      <w:r>
        <w:t>may assist the parent/carers in placing the pupil in another school. If a parent/carer believes that they are being pressured into a managed move or is unhappy with a managed move, they can take up the issue through the school’s formal complaints procedure</w:t>
      </w:r>
      <w:r>
        <w:t xml:space="preserve"> with the governing board and, where appropriate, the local authority.</w:t>
      </w:r>
    </w:p>
    <w:p w14:paraId="5F209231"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r>
        <w:t xml:space="preserve">Managed moves will only occur as part of a </w:t>
      </w:r>
      <w:r>
        <w:rPr>
          <w:b/>
          <w:bCs/>
        </w:rPr>
        <w:t>planned intervention</w:t>
      </w:r>
      <w:r>
        <w:t>, with clear evidence of prior support strategies and agreement from all parties.</w:t>
      </w:r>
    </w:p>
    <w:p w14:paraId="7F954108" w14:textId="77777777" w:rsidR="00AD3078" w:rsidRDefault="006155C3">
      <w:r>
        <w:pict w14:anchorId="51FA1166">
          <v:rect id="_x0000_i1040" style="width:0;height:1.5pt" o:hralign="center" o:hrstd="t" o:hr="t" fillcolor="#a0a0a0" stroked="f"/>
        </w:pict>
      </w:r>
    </w:p>
    <w:p w14:paraId="1BECCAF1" w14:textId="77777777" w:rsidR="00AD3078" w:rsidRDefault="006155C3">
      <w:pPr>
        <w:pStyle w:val="Heading2"/>
        <w:numPr>
          <w:ilvl w:val="1"/>
          <w:numId w:val="2"/>
        </w:numPr>
        <w:ind w:left="426" w:hanging="426"/>
      </w:pPr>
      <w:bookmarkStart w:id="17" w:name="_heading=h.mkvw01dfkg6a" w:colFirst="0" w:colLast="0"/>
      <w:bookmarkEnd w:id="17"/>
      <w:r>
        <w:t>Removal from the School for Other Reas</w:t>
      </w:r>
      <w:r>
        <w:t>ons</w:t>
      </w:r>
    </w:p>
    <w:p w14:paraId="66323CEA" w14:textId="77777777" w:rsidR="00AD3078" w:rsidRDefault="00AD3078">
      <w:pPr>
        <w:spacing w:after="0"/>
        <w:ind w:left="1440"/>
      </w:pPr>
    </w:p>
    <w:p w14:paraId="3057D425"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The Headteacher may send a pupil home, after consultation with that pupil’s parent/carers and a health professional as appropriate, if the pupil poses an immediate and serious risk to the health and safety of other pupils and staff, for example becaus</w:t>
      </w:r>
      <w:r>
        <w:t>e of a diagnosed illness such as a notifiable disease.  This is not a suspension/exclusion and should be for the shortest possible time.  A pupil cannot be ‘sent home’ for other reasons, including poor behaviour. </w:t>
      </w:r>
      <w:r>
        <w:pict w14:anchorId="017A6840">
          <v:rect id="_x0000_i1041" style="width:0;height:1.5pt" o:hralign="center" o:hrstd="t" o:hr="t" fillcolor="#a0a0a0" stroked="f"/>
        </w:pict>
      </w:r>
    </w:p>
    <w:p w14:paraId="347261F0" w14:textId="77777777" w:rsidR="00AD3078" w:rsidRDefault="006155C3">
      <w:pPr>
        <w:pStyle w:val="Heading2"/>
        <w:numPr>
          <w:ilvl w:val="1"/>
          <w:numId w:val="2"/>
        </w:numPr>
        <w:ind w:left="426"/>
      </w:pPr>
      <w:bookmarkStart w:id="18" w:name="_heading=h.y98pxzspfcx8" w:colFirst="0" w:colLast="0"/>
      <w:bookmarkEnd w:id="18"/>
      <w:r>
        <w:t>Separation of Pupils for Safeguarding Pur</w:t>
      </w:r>
      <w:r>
        <w:t>poses</w:t>
      </w:r>
    </w:p>
    <w:p w14:paraId="23240D81"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pPr>
      <w:r>
        <w:t>In certain circumstances, the school may need to temporarily prevent a pupil from attending the school site for safeguarding reasons. This may occur, for example, following an allegation of harm involving another pupil where physical separation is required</w:t>
      </w:r>
      <w:r>
        <w:t>. This action is not a suspension or permanent exclusion and will not be recorded as such.</w:t>
      </w:r>
    </w:p>
    <w:p w14:paraId="3926D51F"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pPr>
      <w:r>
        <w:t>Where this occurs, the school will:</w:t>
      </w:r>
    </w:p>
    <w:p w14:paraId="21CAD623" w14:textId="77777777" w:rsidR="00AD3078" w:rsidRDefault="006155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before="280" w:after="0" w:line="240" w:lineRule="auto"/>
      </w:pPr>
      <w:r>
        <w:t>only use this measure in exceptional circumstances where it is necessary to protect pupils or staff</w:t>
      </w:r>
    </w:p>
    <w:p w14:paraId="7D85C850" w14:textId="77777777" w:rsidR="00AD3078" w:rsidRDefault="006155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ensure that the decision is r</w:t>
      </w:r>
      <w:r>
        <w:t>easonable, proportionate, and time-limited</w:t>
      </w:r>
    </w:p>
    <w:p w14:paraId="1062AFD5" w14:textId="77777777" w:rsidR="00AD3078" w:rsidRDefault="006155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pPr>
      <w:r>
        <w:lastRenderedPageBreak/>
        <w:t>inform parents/carers of the reasons without delay</w:t>
      </w:r>
    </w:p>
    <w:p w14:paraId="35004124" w14:textId="77777777" w:rsidR="00AD3078" w:rsidRDefault="006155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involve the Designated Safeguarding Lead (DSL) or deputy in the decision-making process</w:t>
      </w:r>
    </w:p>
    <w:p w14:paraId="65CFD5D9" w14:textId="77777777" w:rsidR="00AD3078" w:rsidRDefault="006155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280" w:line="240" w:lineRule="auto"/>
      </w:pPr>
      <w:r>
        <w:t>notify the governing board without delay</w:t>
      </w:r>
    </w:p>
    <w:p w14:paraId="714BC284"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pPr>
      <w:r>
        <w:t>The school will work with the local authority to ensure that suitable education is arranged where required. In all cases, the school will have regard to:</w:t>
      </w:r>
    </w:p>
    <w:p w14:paraId="0272363F" w14:textId="77777777" w:rsidR="00AD3078" w:rsidRDefault="006155C3">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280" w:after="0" w:line="240" w:lineRule="auto"/>
        <w:ind w:left="720" w:hanging="360"/>
        <w:rPr>
          <w:color w:val="000000"/>
        </w:rPr>
      </w:pPr>
      <w:r>
        <w:t>Keeping Children Safe in Education (KCSIE)</w:t>
      </w:r>
    </w:p>
    <w:p w14:paraId="7297BEC3" w14:textId="77777777" w:rsidR="00AD3078" w:rsidRDefault="006155C3">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360"/>
        <w:rPr>
          <w:color w:val="000000"/>
        </w:rPr>
      </w:pPr>
      <w:r>
        <w:t>Working Together to Safeguard Children</w:t>
      </w:r>
    </w:p>
    <w:p w14:paraId="427E41AB" w14:textId="77777777" w:rsidR="00AD3078" w:rsidRDefault="006155C3">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360"/>
        <w:rPr>
          <w:color w:val="000000"/>
        </w:rPr>
      </w:pPr>
      <w:r>
        <w:t>The Equality Act 2010</w:t>
      </w:r>
    </w:p>
    <w:p w14:paraId="00AA0D39" w14:textId="77777777" w:rsidR="00AD3078" w:rsidRDefault="006155C3">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hanging="360"/>
        <w:rPr>
          <w:color w:val="000000"/>
        </w:rPr>
      </w:pPr>
      <w:r>
        <w:t>The Human Rights Act 1998</w:t>
      </w:r>
    </w:p>
    <w:p w14:paraId="16C9FDDB"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pPr>
      <w:r>
        <w:t>Decisions will be taken in line with principles of procedural fairness and will involve multi-agency working where appropriate.</w:t>
      </w:r>
    </w:p>
    <w:p w14:paraId="5E1C6C3C"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pict w14:anchorId="4FFE0BD5">
          <v:rect id="_x0000_i1042" style="width:0;height:1.5pt" o:hralign="center" o:hrstd="t" o:hr="t" fillcolor="#a0a0a0" stroked="f"/>
        </w:pict>
      </w:r>
    </w:p>
    <w:p w14:paraId="03712F8D" w14:textId="77777777" w:rsidR="00AD3078" w:rsidRDefault="006155C3">
      <w:pPr>
        <w:pStyle w:val="Heading2"/>
        <w:numPr>
          <w:ilvl w:val="1"/>
          <w:numId w:val="2"/>
        </w:numPr>
        <w:ind w:left="426" w:hanging="426"/>
      </w:pPr>
      <w:bookmarkStart w:id="19" w:name="_heading=h.gp9qyl3y6chg" w:colFirst="0" w:colLast="0"/>
      <w:bookmarkEnd w:id="19"/>
      <w:r>
        <w:t>Cancelling an Exclusion</w:t>
      </w:r>
    </w:p>
    <w:p w14:paraId="2839E5AD" w14:textId="77777777" w:rsidR="00AD3078" w:rsidRDefault="00AD3078">
      <w:pPr>
        <w:spacing w:after="0"/>
        <w:ind w:left="1440"/>
      </w:pPr>
    </w:p>
    <w:p w14:paraId="502CF331"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The headteacher can cancel any exclusion that has already begun (or one that has not yet begun), but this can only happen when the governing board has not yet met to consider whether the pupil should be reinstated. Where an exclusi</w:t>
      </w:r>
      <w:r>
        <w:t>on is cancelled:</w:t>
      </w:r>
    </w:p>
    <w:p w14:paraId="677A745E"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 xml:space="preserve"> • The headteacher must notify the parents, the governing board, the LA and the pupil’s social worker and VSH as applicable, without delay. The notification must also provide the reason for the cancellation; </w:t>
      </w:r>
    </w:p>
    <w:p w14:paraId="5FCF249F"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 The governing board’s duty t</w:t>
      </w:r>
      <w:r>
        <w:t xml:space="preserve">o consider reinstatement ceases, and there is no requirement to hold a meeting to consider reinstatement; </w:t>
      </w:r>
    </w:p>
    <w:p w14:paraId="28BCC5E0"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 Parents should be offered the opportunity to meet the headteacher to discuss the circumstances that led to the exclusion being cancelled which shou</w:t>
      </w:r>
      <w:r>
        <w:t>ld be arranged without delay; • The pupil must be allowed back into the school from which they were excluded without delay. • Any days spent out of school as a result of any exclusion, prior to the cancellation will count towards the maximum of 45 school d</w:t>
      </w:r>
      <w:r>
        <w:t>ays permitted in any school year</w:t>
      </w:r>
    </w:p>
    <w:p w14:paraId="6CFFDB3E"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r>
        <w:t>The reason for cancellation must be clearly recorded and communicated to all relevant parties.</w:t>
      </w:r>
    </w:p>
    <w:p w14:paraId="2E8AD48F" w14:textId="77777777" w:rsidR="00AD3078" w:rsidRDefault="006155C3">
      <w:r>
        <w:pict w14:anchorId="6018C724">
          <v:rect id="_x0000_i1043" style="width:0;height:1.5pt" o:hralign="center" o:hrstd="t" o:hr="t" fillcolor="#a0a0a0" stroked="f"/>
        </w:pict>
      </w:r>
    </w:p>
    <w:p w14:paraId="1F092F51" w14:textId="77777777" w:rsidR="00AD3078" w:rsidRDefault="006155C3">
      <w:pPr>
        <w:pStyle w:val="Heading2"/>
        <w:numPr>
          <w:ilvl w:val="1"/>
          <w:numId w:val="2"/>
        </w:numPr>
        <w:ind w:left="426"/>
      </w:pPr>
      <w:bookmarkStart w:id="20" w:name="_heading=h.vmy8xcqz89d5" w:colFirst="0" w:colLast="0"/>
      <w:bookmarkEnd w:id="20"/>
      <w:r>
        <w:t>Evidence and Recording</w:t>
      </w:r>
    </w:p>
    <w:p w14:paraId="3E690733"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pPr>
      <w:r>
        <w:t>All decisions relating to suspension and exclusion will be supported by clear evidence, including:</w:t>
      </w:r>
    </w:p>
    <w:p w14:paraId="5E460206" w14:textId="77777777" w:rsidR="00AD3078" w:rsidRDefault="006155C3">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80" w:after="0" w:line="240" w:lineRule="auto"/>
      </w:pPr>
      <w:r>
        <w:t>records of interventions and support strategies</w:t>
      </w:r>
    </w:p>
    <w:p w14:paraId="3EC8797F" w14:textId="77777777" w:rsidR="00AD3078" w:rsidRDefault="006155C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behaviour logs and incident reports</w:t>
      </w:r>
    </w:p>
    <w:p w14:paraId="2BE9C465" w14:textId="77777777" w:rsidR="00AD3078" w:rsidRDefault="006155C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pPr>
      <w:r>
        <w:t>consideration of SEND and safeguarding needs</w:t>
      </w:r>
    </w:p>
    <w:p w14:paraId="42202691" w14:textId="77777777" w:rsidR="00AD3078" w:rsidRDefault="006155C3">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280" w:line="240" w:lineRule="auto"/>
      </w:pPr>
      <w:r>
        <w:t>rationale for decisions made</w:t>
      </w:r>
    </w:p>
    <w:p w14:paraId="66745447"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pPr>
      <w:r>
        <w:t>If evidence is not recorded, it will not be considered as part of the decision-making process.</w:t>
      </w:r>
    </w:p>
    <w:p w14:paraId="17D20C33" w14:textId="77777777" w:rsidR="00AD3078" w:rsidRDefault="006155C3">
      <w:r>
        <w:lastRenderedPageBreak/>
        <w:pict w14:anchorId="319C9070">
          <v:rect id="_x0000_i1044" style="width:0;height:1.5pt" o:hralign="center" o:hrstd="t" o:hr="t" fillcolor="#a0a0a0" stroked="f"/>
        </w:pict>
      </w:r>
    </w:p>
    <w:p w14:paraId="702AC349" w14:textId="77777777" w:rsidR="00AD3078" w:rsidRDefault="006155C3">
      <w:pPr>
        <w:pStyle w:val="Heading2"/>
        <w:numPr>
          <w:ilvl w:val="1"/>
          <w:numId w:val="2"/>
        </w:numPr>
        <w:ind w:left="426" w:hanging="426"/>
      </w:pPr>
      <w:bookmarkStart w:id="21" w:name="_heading=h.dmxjo8to1zqk" w:colFirst="0" w:colLast="0"/>
      <w:bookmarkEnd w:id="21"/>
      <w:r>
        <w:t>Equal Opportunities</w:t>
      </w:r>
    </w:p>
    <w:p w14:paraId="3392C1A7" w14:textId="77777777" w:rsidR="00AD3078" w:rsidRDefault="00AD3078">
      <w:pPr>
        <w:spacing w:after="0"/>
        <w:ind w:left="1440"/>
      </w:pPr>
    </w:p>
    <w:p w14:paraId="201C0082"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The Governing Body recognise that it is unlawful to take into account anyone’s gender, marital status, colour</w:t>
      </w:r>
      <w:r>
        <w:t>, race, nationality, ethnic or national origin, disability, religious beliefs, age, or sexual orientation. Full consideration has been given to this during the formulation of this policy as it is the governors’ aim that no-one at New Education Trust should</w:t>
      </w:r>
      <w:r>
        <w:t xml:space="preserve"> suffer discrimination, either directly or indirectly, or harassment on any of these grounds. </w:t>
      </w:r>
    </w:p>
    <w:p w14:paraId="6D4C30B9"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r>
        <w:t>The school will monitor exclusion data to identify patterns related to protected characteristics and take action where disparities are identified.</w:t>
      </w:r>
    </w:p>
    <w:p w14:paraId="1EF61D93" w14:textId="77777777" w:rsidR="00AD3078" w:rsidRDefault="006155C3">
      <w:r>
        <w:pict w14:anchorId="5E5DE2CA">
          <v:rect id="_x0000_i1045" style="width:0;height:1.5pt" o:hralign="center" o:hrstd="t" o:hr="t" fillcolor="#a0a0a0" stroked="f"/>
        </w:pict>
      </w:r>
    </w:p>
    <w:p w14:paraId="62D94753" w14:textId="77777777" w:rsidR="00AD3078" w:rsidRDefault="006155C3">
      <w:pPr>
        <w:pStyle w:val="Heading2"/>
        <w:numPr>
          <w:ilvl w:val="1"/>
          <w:numId w:val="2"/>
        </w:numPr>
        <w:ind w:left="426" w:hanging="426"/>
      </w:pPr>
      <w:bookmarkStart w:id="22" w:name="_heading=h.9ja6yl2npby" w:colFirst="0" w:colLast="0"/>
      <w:bookmarkEnd w:id="22"/>
      <w:r>
        <w:t xml:space="preserve"> </w:t>
      </w:r>
      <w:r>
        <w:t>Reintegration Meeting</w:t>
      </w:r>
    </w:p>
    <w:p w14:paraId="44921A76" w14:textId="77777777" w:rsidR="00AD3078" w:rsidRDefault="00AD3078">
      <w:pPr>
        <w:spacing w:after="0"/>
        <w:ind w:left="1440"/>
      </w:pPr>
    </w:p>
    <w:p w14:paraId="340DFC81"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After every period of suspension, the parent/carer and child will be offered a rein</w:t>
      </w:r>
      <w:r>
        <w:t xml:space="preserve">tegration meeting with a senior member of school staff. At this meeting targets will be agreed for improving behaviour and a written agreement produced for all parties to sign.  </w:t>
      </w:r>
    </w:p>
    <w:p w14:paraId="179CC053" w14:textId="77777777" w:rsidR="00AD3078" w:rsidRDefault="006155C3">
      <w:r>
        <w:pict w14:anchorId="52D251DF">
          <v:rect id="_x0000_i1046" style="width:0;height:1.5pt" o:hralign="center" o:hrstd="t" o:hr="t" fillcolor="#a0a0a0" stroked="f"/>
        </w:pict>
      </w:r>
    </w:p>
    <w:p w14:paraId="738AF35C" w14:textId="77777777" w:rsidR="00AD3078" w:rsidRDefault="006155C3">
      <w:pPr>
        <w:pStyle w:val="Heading2"/>
        <w:numPr>
          <w:ilvl w:val="1"/>
          <w:numId w:val="2"/>
        </w:numPr>
        <w:ind w:left="426" w:hanging="426"/>
      </w:pPr>
      <w:bookmarkStart w:id="23" w:name="_heading=h.acuitvyjb6du" w:colFirst="0" w:colLast="0"/>
      <w:bookmarkEnd w:id="23"/>
      <w:r>
        <w:t xml:space="preserve"> Procedure for Appeal</w:t>
      </w:r>
    </w:p>
    <w:p w14:paraId="34A70E01" w14:textId="77777777" w:rsidR="00AD3078" w:rsidRDefault="00AD3078">
      <w:pPr>
        <w:spacing w:after="0"/>
        <w:ind w:left="1440"/>
      </w:pPr>
    </w:p>
    <w:p w14:paraId="07D10054"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pPr>
      <w:r>
        <w:t>If parents wish to appeal the decision to exclude, t</w:t>
      </w:r>
      <w:r>
        <w:t>he matter will be referred to the Governing Body and handled through the school and LA appeal procedure.</w:t>
      </w:r>
    </w:p>
    <w:p w14:paraId="78064053"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r>
        <w:t>Parents will also be informed of their right to request an Independent Review Panel (IRP) and to request the appointment of a SEND expert where relevan</w:t>
      </w:r>
      <w:r>
        <w:t>t.</w:t>
      </w:r>
    </w:p>
    <w:p w14:paraId="22DE97A1" w14:textId="77777777" w:rsidR="00AD3078" w:rsidRDefault="00AD3078">
      <w:pPr>
        <w:pBdr>
          <w:top w:val="none" w:sz="0" w:space="0" w:color="000000"/>
          <w:left w:val="none" w:sz="0" w:space="0" w:color="000000"/>
          <w:bottom w:val="none" w:sz="0" w:space="0" w:color="000000"/>
          <w:right w:val="none" w:sz="0" w:space="0" w:color="000000"/>
          <w:between w:val="none" w:sz="0" w:space="0" w:color="000000"/>
        </w:pBdr>
        <w:spacing w:after="0" w:line="240" w:lineRule="auto"/>
      </w:pPr>
    </w:p>
    <w:p w14:paraId="506BCF7B"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pPr>
      <w:r>
        <w:t>Further guidance on exclusion can be found at:</w:t>
      </w:r>
    </w:p>
    <w:p w14:paraId="53039346" w14:textId="77777777" w:rsidR="00AD3078" w:rsidRDefault="006155C3">
      <w:pPr>
        <w:pBdr>
          <w:top w:val="none" w:sz="0" w:space="0" w:color="000000"/>
          <w:left w:val="none" w:sz="0" w:space="0" w:color="000000"/>
          <w:bottom w:val="none" w:sz="0" w:space="0" w:color="000000"/>
          <w:right w:val="none" w:sz="0" w:space="0" w:color="000000"/>
          <w:between w:val="none" w:sz="0" w:space="0" w:color="000000"/>
        </w:pBdr>
        <w:spacing w:after="0" w:line="240" w:lineRule="auto"/>
      </w:pPr>
      <w:hyperlink r:id="rId10">
        <w:r>
          <w:rPr>
            <w:color w:val="0000FF"/>
            <w:u w:val="single"/>
          </w:rPr>
          <w:t>https://www.worcestershire.gov.uk/worcestershire-children-first-education-services/support</w:t>
        </w:r>
        <w:r>
          <w:rPr>
            <w:color w:val="0000FF"/>
            <w:u w:val="single"/>
          </w:rPr>
          <w:t>-services/safeguarding-children/exclusions-and-fair-access</w:t>
        </w:r>
      </w:hyperlink>
    </w:p>
    <w:p w14:paraId="4B35CC5B" w14:textId="77777777" w:rsidR="00AD3078" w:rsidRDefault="006155C3">
      <w:pPr>
        <w:pBdr>
          <w:top w:val="none" w:sz="0" w:space="15" w:color="000000"/>
          <w:left w:val="none" w:sz="0" w:space="0" w:color="000000"/>
          <w:bottom w:val="none" w:sz="0" w:space="0" w:color="000000"/>
          <w:right w:val="none" w:sz="0" w:space="0" w:color="000000"/>
          <w:between w:val="none" w:sz="0" w:space="0" w:color="000000"/>
        </w:pBdr>
        <w:spacing w:after="0" w:line="240" w:lineRule="auto"/>
      </w:pPr>
      <w:hyperlink r:id="rId11">
        <w:r>
          <w:rPr>
            <w:color w:val="0000FF"/>
            <w:u w:val="single"/>
          </w:rPr>
          <w:t>https://assets.publishing.service.gov.uk/media/6</w:t>
        </w:r>
        <w:r>
          <w:rPr>
            <w:color w:val="0000FF"/>
            <w:u w:val="single"/>
          </w:rPr>
          <w:t>a102af79819be865f421c7d/Suspension_and_Permanent_Exclusion_guidance_July_2026.pdf</w:t>
        </w:r>
      </w:hyperlink>
    </w:p>
    <w:p w14:paraId="69ED966C" w14:textId="77777777" w:rsidR="00AD3078" w:rsidRDefault="00AD3078">
      <w:pPr>
        <w:pBdr>
          <w:top w:val="none" w:sz="0" w:space="15" w:color="000000"/>
          <w:left w:val="none" w:sz="0" w:space="0" w:color="000000"/>
          <w:bottom w:val="none" w:sz="0" w:space="0" w:color="000000"/>
          <w:right w:val="none" w:sz="0" w:space="0" w:color="000000"/>
          <w:between w:val="none" w:sz="0" w:space="0" w:color="000000"/>
        </w:pBdr>
        <w:spacing w:after="0" w:line="240" w:lineRule="auto"/>
      </w:pPr>
    </w:p>
    <w:p w14:paraId="5AB0A57E" w14:textId="77777777" w:rsidR="00AD3078" w:rsidRDefault="006155C3">
      <w:pPr>
        <w:pBdr>
          <w:top w:val="none" w:sz="0" w:space="15" w:color="000000"/>
          <w:left w:val="none" w:sz="0" w:space="0" w:color="000000"/>
          <w:bottom w:val="none" w:sz="0" w:space="0" w:color="000000"/>
          <w:right w:val="none" w:sz="0" w:space="0" w:color="000000"/>
          <w:between w:val="none" w:sz="0" w:space="0" w:color="000000"/>
        </w:pBdr>
        <w:spacing w:after="0" w:line="240" w:lineRule="auto"/>
      </w:pPr>
      <w:r>
        <w:t>The Department’s Guidance for parents and carers on behaviour, suspension and permanent exclusion, which can be found here:</w:t>
      </w:r>
    </w:p>
    <w:p w14:paraId="45C9C111" w14:textId="77777777" w:rsidR="00AD3078" w:rsidRDefault="006155C3">
      <w:pPr>
        <w:pBdr>
          <w:top w:val="none" w:sz="0" w:space="15" w:color="000000"/>
          <w:left w:val="none" w:sz="0" w:space="0" w:color="000000"/>
          <w:bottom w:val="none" w:sz="0" w:space="0" w:color="000000"/>
          <w:right w:val="none" w:sz="0" w:space="0" w:color="000000"/>
          <w:between w:val="none" w:sz="0" w:space="0" w:color="000000"/>
        </w:pBdr>
        <w:spacing w:after="0" w:line="240" w:lineRule="auto"/>
      </w:pPr>
      <w:r>
        <w:t xml:space="preserve"> </w:t>
      </w:r>
      <w:hyperlink r:id="rId12">
        <w:r>
          <w:rPr>
            <w:color w:val="0000FF"/>
            <w:u w:val="single"/>
          </w:rPr>
          <w:t>https://www.gov.uk/government/publications/school-exclusions-guide-for-parents</w:t>
        </w:r>
      </w:hyperlink>
      <w:r>
        <w:t xml:space="preserve"> </w:t>
      </w:r>
    </w:p>
    <w:p w14:paraId="68009166" w14:textId="77777777" w:rsidR="00AD3078" w:rsidRDefault="00AD3078">
      <w:pPr>
        <w:pBdr>
          <w:top w:val="none" w:sz="0" w:space="15" w:color="000000"/>
          <w:left w:val="none" w:sz="0" w:space="0" w:color="000000"/>
          <w:bottom w:val="none" w:sz="0" w:space="0" w:color="000000"/>
          <w:right w:val="none" w:sz="0" w:space="0" w:color="000000"/>
          <w:between w:val="none" w:sz="0" w:space="0" w:color="000000"/>
        </w:pBdr>
        <w:spacing w:after="0" w:line="240" w:lineRule="auto"/>
      </w:pPr>
    </w:p>
    <w:p w14:paraId="78D6E94B" w14:textId="77777777" w:rsidR="00AD3078" w:rsidRDefault="006155C3">
      <w:pPr>
        <w:pBdr>
          <w:top w:val="none" w:sz="0" w:space="15" w:color="000000"/>
          <w:left w:val="none" w:sz="0" w:space="0" w:color="000000"/>
          <w:bottom w:val="none" w:sz="0" w:space="0" w:color="000000"/>
          <w:right w:val="none" w:sz="0" w:space="0" w:color="000000"/>
          <w:between w:val="none" w:sz="0" w:space="0" w:color="000000"/>
        </w:pBdr>
        <w:spacing w:after="0" w:line="240" w:lineRule="auto"/>
      </w:pPr>
      <w:r>
        <w:t>SENDIASS service who provide information, advice and support to children and young people with SEND, including on exclusions.</w:t>
      </w:r>
      <w:r>
        <w:t xml:space="preserve"> </w:t>
      </w:r>
      <w:hyperlink r:id="rId13">
        <w:r>
          <w:rPr>
            <w:color w:val="0000FF"/>
            <w:u w:val="single"/>
          </w:rPr>
          <w:t>https://www.worcestershire.gov.uk/sendiass</w:t>
        </w:r>
      </w:hyperlink>
    </w:p>
    <w:p w14:paraId="67C0CA05" w14:textId="77777777" w:rsidR="00AD3078" w:rsidRDefault="00AD3078">
      <w:pPr>
        <w:pBdr>
          <w:top w:val="none" w:sz="0" w:space="15" w:color="000000"/>
          <w:left w:val="none" w:sz="0" w:space="0" w:color="000000"/>
          <w:bottom w:val="none" w:sz="0" w:space="0" w:color="000000"/>
          <w:right w:val="none" w:sz="0" w:space="0" w:color="000000"/>
          <w:between w:val="none" w:sz="0" w:space="0" w:color="000000"/>
        </w:pBdr>
        <w:spacing w:after="0" w:line="240" w:lineRule="auto"/>
      </w:pPr>
    </w:p>
    <w:p w14:paraId="6A1311AF" w14:textId="77777777" w:rsidR="00AD3078" w:rsidRDefault="006155C3">
      <w:pPr>
        <w:pBdr>
          <w:top w:val="none" w:sz="0" w:space="15" w:color="000000"/>
          <w:left w:val="none" w:sz="0" w:space="0" w:color="000000"/>
          <w:bottom w:val="none" w:sz="0" w:space="0" w:color="000000"/>
          <w:right w:val="none" w:sz="0" w:space="0" w:color="000000"/>
          <w:between w:val="none" w:sz="0" w:space="0" w:color="000000"/>
        </w:pBdr>
        <w:spacing w:after="0" w:line="240" w:lineRule="auto"/>
      </w:pPr>
      <w:r>
        <w:t>Coram’s Child Law Advice service can be found through their website https://childlawadvice.org.uk/information-pages/school-exclusion/ or contacted on</w:t>
      </w:r>
      <w:r>
        <w:t xml:space="preserve"> 0300 330 5485 from Monday to Friday, 10am – 4pm. </w:t>
      </w:r>
    </w:p>
    <w:p w14:paraId="789A47AE" w14:textId="77777777" w:rsidR="00AD3078" w:rsidRDefault="006155C3">
      <w:pPr>
        <w:pBdr>
          <w:top w:val="none" w:sz="0" w:space="15" w:color="000000"/>
          <w:left w:val="none" w:sz="0" w:space="0" w:color="000000"/>
          <w:bottom w:val="none" w:sz="0" w:space="0" w:color="000000"/>
          <w:right w:val="none" w:sz="0" w:space="0" w:color="000000"/>
          <w:between w:val="none" w:sz="0" w:space="0" w:color="000000"/>
        </w:pBdr>
        <w:spacing w:after="0" w:line="240" w:lineRule="auto"/>
      </w:pPr>
      <w:r>
        <w:t xml:space="preserve">Independent Provider of Special Education Advice (known as IPSEA – www.ipsea.org.uk) is a registered charity. It offers free and independent information, </w:t>
      </w:r>
      <w:r>
        <w:lastRenderedPageBreak/>
        <w:t xml:space="preserve">advice and support to help get the right education </w:t>
      </w:r>
      <w:r>
        <w:t>for children and young people with all kinds of special educational needs (SEN) and disabilities.</w:t>
      </w:r>
    </w:p>
    <w:p w14:paraId="51BCC7A2" w14:textId="77777777" w:rsidR="00AD3078" w:rsidRDefault="00AD3078">
      <w:pPr>
        <w:pBdr>
          <w:top w:val="none" w:sz="0" w:space="15" w:color="000000"/>
          <w:left w:val="none" w:sz="0" w:space="0" w:color="000000"/>
          <w:bottom w:val="none" w:sz="0" w:space="0" w:color="000000"/>
          <w:right w:val="none" w:sz="0" w:space="0" w:color="000000"/>
          <w:between w:val="none" w:sz="0" w:space="0" w:color="000000"/>
        </w:pBdr>
        <w:spacing w:after="240" w:line="240" w:lineRule="auto"/>
      </w:pPr>
    </w:p>
    <w:p w14:paraId="52438192" w14:textId="77777777" w:rsidR="00AD3078" w:rsidRDefault="006155C3">
      <w:r>
        <w:pict w14:anchorId="699BC6D4">
          <v:rect id="_x0000_i1047" style="width:0;height:1.5pt" o:hralign="center" o:hrstd="t" o:hr="t" fillcolor="#a0a0a0" stroked="f"/>
        </w:pict>
      </w:r>
    </w:p>
    <w:p w14:paraId="02CE9137" w14:textId="77777777" w:rsidR="00AD3078" w:rsidRDefault="006155C3">
      <w:r>
        <w:br w:type="page"/>
      </w:r>
    </w:p>
    <w:p w14:paraId="49A58FEB" w14:textId="77777777" w:rsidR="00AD3078" w:rsidRDefault="00AD3078"/>
    <w:p w14:paraId="6F8F1944" w14:textId="77777777" w:rsidR="00AD3078" w:rsidRDefault="006155C3">
      <w:r>
        <w:rPr>
          <w:noProof/>
        </w:rPr>
        <w:drawing>
          <wp:anchor distT="0" distB="0" distL="114300" distR="114300" simplePos="0" relativeHeight="251659264" behindDoc="0" locked="0" layoutInCell="1" hidden="0" allowOverlap="1" wp14:anchorId="1827A5A9" wp14:editId="440AF46C">
            <wp:simplePos x="0" y="0"/>
            <wp:positionH relativeFrom="margin">
              <wp:align>center</wp:align>
            </wp:positionH>
            <wp:positionV relativeFrom="margin">
              <wp:align>center</wp:align>
            </wp:positionV>
            <wp:extent cx="4646645" cy="2804152"/>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646645" cy="2804152"/>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34FBDA1" wp14:editId="552AC6FE">
            <wp:simplePos x="0" y="0"/>
            <wp:positionH relativeFrom="margin">
              <wp:align>center</wp:align>
            </wp:positionH>
            <wp:positionV relativeFrom="margin">
              <wp:align>bottom</wp:align>
            </wp:positionV>
            <wp:extent cx="2377179" cy="1124589"/>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377179" cy="1124589"/>
                    </a:xfrm>
                    <a:prstGeom prst="rect">
                      <a:avLst/>
                    </a:prstGeom>
                    <a:ln/>
                  </pic:spPr>
                </pic:pic>
              </a:graphicData>
            </a:graphic>
          </wp:anchor>
        </w:drawing>
      </w:r>
    </w:p>
    <w:sectPr w:rsidR="00AD3078">
      <w:footerReference w:type="default" r:id="rId16"/>
      <w:headerReference w:type="first" r:id="rId17"/>
      <w:footerReference w:type="first" r:id="rId18"/>
      <w:pgSz w:w="11906" w:h="16838"/>
      <w:pgMar w:top="1440" w:right="1440" w:bottom="156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22A19" w14:textId="77777777" w:rsidR="006155C3" w:rsidRDefault="006155C3">
      <w:pPr>
        <w:spacing w:after="0" w:line="240" w:lineRule="auto"/>
      </w:pPr>
      <w:r>
        <w:separator/>
      </w:r>
    </w:p>
  </w:endnote>
  <w:endnote w:type="continuationSeparator" w:id="0">
    <w:p w14:paraId="2E47D23C" w14:textId="77777777" w:rsidR="006155C3" w:rsidRDefault="00615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DBFBE98-C918-4E0A-A388-BA30F206D0C6}"/>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embedRegular r:id="rId2" w:fontKey="{E51B715B-2DF4-414D-8AF6-850438DD868F}"/>
    <w:embedBold r:id="rId3" w:fontKey="{499E04AB-E016-418D-817C-A9BB6F34DFF6}"/>
    <w:embedItalic r:id="rId4" w:fontKey="{B6F38E44-D5B5-456B-8D64-A4E1D855785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53F4188-B025-4F43-8DEA-67027B5D8E60}"/>
  </w:font>
  <w:font w:name="Cambria">
    <w:panose1 w:val="02040503050406030204"/>
    <w:charset w:val="00"/>
    <w:family w:val="roman"/>
    <w:pitch w:val="variable"/>
    <w:sig w:usb0="E00006FF" w:usb1="420024FF" w:usb2="02000000" w:usb3="00000000" w:csb0="0000019F" w:csb1="00000000"/>
    <w:embedRegular r:id="rId6" w:fontKey="{FA1E7FB4-7E33-4BCC-A881-1C6FAE5A03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48F0" w14:textId="77777777" w:rsidR="00AD3078" w:rsidRDefault="006155C3">
    <w:r>
      <w:rPr>
        <w:noProof/>
      </w:rPr>
      <mc:AlternateContent>
        <mc:Choice Requires="wpg">
          <w:drawing>
            <wp:anchor distT="0" distB="0" distL="114300" distR="114300" simplePos="0" relativeHeight="251659264" behindDoc="0" locked="0" layoutInCell="1" hidden="0" allowOverlap="1" wp14:anchorId="22555418" wp14:editId="3E87EB18">
              <wp:simplePos x="0" y="0"/>
              <wp:positionH relativeFrom="column">
                <wp:posOffset>-915821</wp:posOffset>
              </wp:positionH>
              <wp:positionV relativeFrom="paragraph">
                <wp:posOffset>148747</wp:posOffset>
              </wp:positionV>
              <wp:extent cx="7561816" cy="599238"/>
              <wp:effectExtent l="0" t="0" r="0" b="0"/>
              <wp:wrapNone/>
              <wp:docPr id="1" name="Group 1"/>
              <wp:cNvGraphicFramePr/>
              <a:graphic xmlns:a="http://schemas.openxmlformats.org/drawingml/2006/main">
                <a:graphicData uri="http://schemas.microsoft.com/office/word/2010/wordprocessingGroup">
                  <wpg:wgp>
                    <wpg:cNvGrpSpPr/>
                    <wpg:grpSpPr>
                      <a:xfrm>
                        <a:off x="0" y="0"/>
                        <a:ext cx="7561816" cy="599238"/>
                        <a:chOff x="1565075" y="3480375"/>
                        <a:chExt cx="7561850" cy="599250"/>
                      </a:xfrm>
                    </wpg:grpSpPr>
                    <wpg:grpSp>
                      <wpg:cNvPr id="12" name="Group 12"/>
                      <wpg:cNvGrpSpPr/>
                      <wpg:grpSpPr>
                        <a:xfrm>
                          <a:off x="1565092" y="3480381"/>
                          <a:ext cx="7561816" cy="599238"/>
                          <a:chOff x="1565075" y="3480375"/>
                          <a:chExt cx="7561850" cy="599250"/>
                        </a:xfrm>
                      </wpg:grpSpPr>
                      <wps:wsp>
                        <wps:cNvPr id="13" name="Rectangle 13"/>
                        <wps:cNvSpPr/>
                        <wps:spPr>
                          <a:xfrm>
                            <a:off x="1565075" y="3480375"/>
                            <a:ext cx="7561850" cy="599250"/>
                          </a:xfrm>
                          <a:prstGeom prst="rect">
                            <a:avLst/>
                          </a:prstGeom>
                          <a:noFill/>
                          <a:ln>
                            <a:noFill/>
                          </a:ln>
                        </wps:spPr>
                        <wps:txbx>
                          <w:txbxContent>
                            <w:p w14:paraId="1723EE1B" w14:textId="77777777" w:rsidR="00AD3078" w:rsidRDefault="00AD3078">
                              <w:pPr>
                                <w:spacing w:after="0" w:line="240" w:lineRule="auto"/>
                                <w:textDirection w:val="btLr"/>
                              </w:pPr>
                            </w:p>
                          </w:txbxContent>
                        </wps:txbx>
                        <wps:bodyPr spcFirstLastPara="1" wrap="square" lIns="91425" tIns="91425" rIns="91425" bIns="91425" anchor="ctr" anchorCtr="0">
                          <a:noAutofit/>
                        </wps:bodyPr>
                      </wps:wsp>
                      <wpg:grpSp>
                        <wpg:cNvPr id="14" name="Group 14"/>
                        <wpg:cNvGrpSpPr/>
                        <wpg:grpSpPr>
                          <a:xfrm>
                            <a:off x="1565092" y="3480381"/>
                            <a:ext cx="7561816" cy="599238"/>
                            <a:chOff x="1565075" y="3429525"/>
                            <a:chExt cx="7561850" cy="596075"/>
                          </a:xfrm>
                        </wpg:grpSpPr>
                        <wps:wsp>
                          <wps:cNvPr id="15" name="Rectangle 15"/>
                          <wps:cNvSpPr/>
                          <wps:spPr>
                            <a:xfrm>
                              <a:off x="1565075" y="3429525"/>
                              <a:ext cx="7561850" cy="596075"/>
                            </a:xfrm>
                            <a:prstGeom prst="rect">
                              <a:avLst/>
                            </a:prstGeom>
                            <a:noFill/>
                            <a:ln>
                              <a:noFill/>
                            </a:ln>
                          </wps:spPr>
                          <wps:txbx>
                            <w:txbxContent>
                              <w:p w14:paraId="3056447C" w14:textId="77777777" w:rsidR="00AD3078" w:rsidRDefault="00AD3078">
                                <w:pPr>
                                  <w:textDirection w:val="btLr"/>
                                </w:pPr>
                              </w:p>
                            </w:txbxContent>
                          </wps:txbx>
                          <wps:bodyPr spcFirstLastPara="1" wrap="square" lIns="91425" tIns="91425" rIns="91425" bIns="91425" anchor="ctr" anchorCtr="0">
                            <a:noAutofit/>
                          </wps:bodyPr>
                        </wps:wsp>
                        <wps:wsp>
                          <wps:cNvPr id="16" name="Rectangle 16"/>
                          <wps:cNvSpPr/>
                          <wps:spPr>
                            <a:xfrm>
                              <a:off x="1571442" y="3540768"/>
                              <a:ext cx="7549116" cy="478465"/>
                            </a:xfrm>
                            <a:prstGeom prst="rect">
                              <a:avLst/>
                            </a:prstGeom>
                            <a:solidFill>
                              <a:srgbClr val="222A58"/>
                            </a:solidFill>
                            <a:ln w="12700" cap="flat" cmpd="sng">
                              <a:solidFill>
                                <a:srgbClr val="222A58"/>
                              </a:solidFill>
                              <a:prstDash val="solid"/>
                              <a:miter lim="8000"/>
                              <a:headEnd type="none" w="sm" len="sm"/>
                              <a:tailEnd type="none" w="sm" len="sm"/>
                            </a:ln>
                          </wps:spPr>
                          <wps:txbx>
                            <w:txbxContent>
                              <w:p w14:paraId="00392C01" w14:textId="77777777" w:rsidR="00AD3078" w:rsidRDefault="00AD3078">
                                <w:pPr>
                                  <w:textDirection w:val="btLr"/>
                                </w:pPr>
                              </w:p>
                            </w:txbxContent>
                          </wps:txbx>
                          <wps:bodyPr spcFirstLastPara="1" wrap="square" lIns="91425" tIns="91425" rIns="91425" bIns="91425" anchor="ctr" anchorCtr="0">
                            <a:noAutofit/>
                          </wps:bodyPr>
                        </wps:wsp>
                        <wps:wsp>
                          <wps:cNvPr id="17" name="Rectangle 17"/>
                          <wps:cNvSpPr/>
                          <wps:spPr>
                            <a:xfrm>
                              <a:off x="1571400" y="3434300"/>
                              <a:ext cx="7549200" cy="106500"/>
                            </a:xfrm>
                            <a:prstGeom prst="rect">
                              <a:avLst/>
                            </a:prstGeom>
                            <a:solidFill>
                              <a:srgbClr val="4F9C9E"/>
                            </a:solidFill>
                            <a:ln w="9525" cap="flat" cmpd="sng">
                              <a:solidFill>
                                <a:srgbClr val="4F9C9E"/>
                              </a:solidFill>
                              <a:prstDash val="solid"/>
                              <a:round/>
                              <a:headEnd type="none" w="sm" len="sm"/>
                              <a:tailEnd type="none" w="sm" len="sm"/>
                            </a:ln>
                          </wps:spPr>
                          <wps:txbx>
                            <w:txbxContent>
                              <w:p w14:paraId="0ADE0845" w14:textId="77777777" w:rsidR="00AD3078" w:rsidRDefault="00AD3078">
                                <w:pPr>
                                  <w:jc w:val="center"/>
                                  <w:textDirection w:val="btLr"/>
                                </w:pPr>
                              </w:p>
                            </w:txbxContent>
                          </wps:txbx>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-915821</wp:posOffset>
              </wp:positionH>
              <wp:positionV relativeFrom="paragraph">
                <wp:posOffset>148747</wp:posOffset>
              </wp:positionV>
              <wp:extent cx="7561816" cy="599238"/>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561816" cy="599238"/>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93D9" w14:textId="77777777" w:rsidR="00AD3078" w:rsidRDefault="006155C3">
    <w:r>
      <w:rPr>
        <w:noProof/>
      </w:rPr>
      <mc:AlternateContent>
        <mc:Choice Requires="wpg">
          <w:drawing>
            <wp:anchor distT="0" distB="0" distL="114300" distR="114300" simplePos="0" relativeHeight="251660288" behindDoc="0" locked="0" layoutInCell="1" hidden="0" allowOverlap="1" wp14:anchorId="3AB5D55F" wp14:editId="6CC76AFC">
              <wp:simplePos x="0" y="0"/>
              <wp:positionH relativeFrom="column">
                <wp:posOffset>-923921</wp:posOffset>
              </wp:positionH>
              <wp:positionV relativeFrom="paragraph">
                <wp:posOffset>112208</wp:posOffset>
              </wp:positionV>
              <wp:extent cx="7891463" cy="645214"/>
              <wp:effectExtent l="0" t="0" r="0" b="0"/>
              <wp:wrapNone/>
              <wp:docPr id="11" name="Group 11"/>
              <wp:cNvGraphicFramePr/>
              <a:graphic xmlns:a="http://schemas.openxmlformats.org/drawingml/2006/main">
                <a:graphicData uri="http://schemas.microsoft.com/office/word/2010/wordprocessingGroup">
                  <wpg:wgp>
                    <wpg:cNvGrpSpPr/>
                    <wpg:grpSpPr>
                      <a:xfrm>
                        <a:off x="0" y="0"/>
                        <a:ext cx="7891463" cy="645214"/>
                        <a:chOff x="1400250" y="3457375"/>
                        <a:chExt cx="7891500" cy="645250"/>
                      </a:xfrm>
                    </wpg:grpSpPr>
                    <wpg:grpSp>
                      <wpg:cNvPr id="18" name="Group 18"/>
                      <wpg:cNvGrpSpPr/>
                      <wpg:grpSpPr>
                        <a:xfrm>
                          <a:off x="1400269" y="3457393"/>
                          <a:ext cx="7891463" cy="645214"/>
                          <a:chOff x="1400250" y="3457375"/>
                          <a:chExt cx="7891500" cy="645250"/>
                        </a:xfrm>
                      </wpg:grpSpPr>
                      <wps:wsp>
                        <wps:cNvPr id="19" name="Rectangle 19"/>
                        <wps:cNvSpPr/>
                        <wps:spPr>
                          <a:xfrm>
                            <a:off x="1400250" y="3457375"/>
                            <a:ext cx="7891500" cy="645250"/>
                          </a:xfrm>
                          <a:prstGeom prst="rect">
                            <a:avLst/>
                          </a:prstGeom>
                          <a:noFill/>
                          <a:ln>
                            <a:noFill/>
                          </a:ln>
                        </wps:spPr>
                        <wps:txbx>
                          <w:txbxContent>
                            <w:p w14:paraId="4963D9BD" w14:textId="77777777" w:rsidR="00AD3078" w:rsidRDefault="00AD3078">
                              <w:pPr>
                                <w:spacing w:after="0" w:line="240" w:lineRule="auto"/>
                                <w:textDirection w:val="btLr"/>
                              </w:pPr>
                            </w:p>
                          </w:txbxContent>
                        </wps:txbx>
                        <wps:bodyPr spcFirstLastPara="1" wrap="square" lIns="91425" tIns="91425" rIns="91425" bIns="91425" anchor="ctr" anchorCtr="0">
                          <a:noAutofit/>
                        </wps:bodyPr>
                      </wps:wsp>
                      <wpg:grpSp>
                        <wpg:cNvPr id="20" name="Group 20"/>
                        <wpg:cNvGrpSpPr/>
                        <wpg:grpSpPr>
                          <a:xfrm>
                            <a:off x="1400269" y="3457393"/>
                            <a:ext cx="7891463" cy="645214"/>
                            <a:chOff x="1565200" y="3417650"/>
                            <a:chExt cx="7561600" cy="607800"/>
                          </a:xfrm>
                        </wpg:grpSpPr>
                        <wps:wsp>
                          <wps:cNvPr id="21" name="Rectangle 21"/>
                          <wps:cNvSpPr/>
                          <wps:spPr>
                            <a:xfrm>
                              <a:off x="1565200" y="3417650"/>
                              <a:ext cx="7561600" cy="607800"/>
                            </a:xfrm>
                            <a:prstGeom prst="rect">
                              <a:avLst/>
                            </a:prstGeom>
                            <a:noFill/>
                            <a:ln>
                              <a:noFill/>
                            </a:ln>
                          </wps:spPr>
                          <wps:txbx>
                            <w:txbxContent>
                              <w:p w14:paraId="52DB7850" w14:textId="77777777" w:rsidR="00AD3078" w:rsidRDefault="00AD3078">
                                <w:pPr>
                                  <w:textDirection w:val="btLr"/>
                                </w:pPr>
                              </w:p>
                            </w:txbxContent>
                          </wps:txbx>
                          <wps:bodyPr spcFirstLastPara="1" wrap="square" lIns="91425" tIns="91425" rIns="91425" bIns="91425" anchor="ctr" anchorCtr="0">
                            <a:noAutofit/>
                          </wps:bodyPr>
                        </wps:wsp>
                        <wps:wsp>
                          <wps:cNvPr id="22" name="Rectangle 22"/>
                          <wps:cNvSpPr/>
                          <wps:spPr>
                            <a:xfrm>
                              <a:off x="1571560" y="3540923"/>
                              <a:ext cx="7548880" cy="478155"/>
                            </a:xfrm>
                            <a:prstGeom prst="rect">
                              <a:avLst/>
                            </a:prstGeom>
                            <a:solidFill>
                              <a:srgbClr val="222A58"/>
                            </a:solidFill>
                            <a:ln w="12700" cap="flat" cmpd="sng">
                              <a:solidFill>
                                <a:srgbClr val="222A58"/>
                              </a:solidFill>
                              <a:prstDash val="solid"/>
                              <a:miter lim="8000"/>
                              <a:headEnd type="none" w="sm" len="sm"/>
                              <a:tailEnd type="none" w="sm" len="sm"/>
                            </a:ln>
                          </wps:spPr>
                          <wps:txbx>
                            <w:txbxContent>
                              <w:p w14:paraId="41F9390C" w14:textId="77777777" w:rsidR="00AD3078" w:rsidRDefault="00AD3078">
                                <w:pPr>
                                  <w:textDirection w:val="btLr"/>
                                </w:pPr>
                              </w:p>
                            </w:txbxContent>
                          </wps:txbx>
                          <wps:bodyPr spcFirstLastPara="1" wrap="square" lIns="91425" tIns="91425" rIns="91425" bIns="91425" anchor="ctr" anchorCtr="0">
                            <a:noAutofit/>
                          </wps:bodyPr>
                        </wps:wsp>
                        <wps:wsp>
                          <wps:cNvPr id="23" name="Rectangle 23"/>
                          <wps:cNvSpPr/>
                          <wps:spPr>
                            <a:xfrm>
                              <a:off x="1571550" y="3422425"/>
                              <a:ext cx="2471700" cy="118500"/>
                            </a:xfrm>
                            <a:prstGeom prst="rect">
                              <a:avLst/>
                            </a:prstGeom>
                            <a:solidFill>
                              <a:srgbClr val="4F9C9E"/>
                            </a:solidFill>
                            <a:ln w="9525" cap="flat" cmpd="sng">
                              <a:solidFill>
                                <a:srgbClr val="4F9C9E"/>
                              </a:solidFill>
                              <a:prstDash val="solid"/>
                              <a:round/>
                              <a:headEnd type="none" w="sm" len="sm"/>
                              <a:tailEnd type="none" w="sm" len="sm"/>
                            </a:ln>
                          </wps:spPr>
                          <wps:txbx>
                            <w:txbxContent>
                              <w:p w14:paraId="6C5241C7" w14:textId="77777777" w:rsidR="00AD3078" w:rsidRDefault="00AD3078">
                                <w:pPr>
                                  <w:jc w:val="center"/>
                                  <w:textDirection w:val="btLr"/>
                                </w:pPr>
                              </w:p>
                            </w:txbxContent>
                          </wps:txbx>
                          <wps:bodyPr spcFirstLastPara="1" wrap="square" lIns="91425" tIns="91425" rIns="91425" bIns="91425" anchor="ctr" anchorCtr="0">
                            <a:noAutofit/>
                          </wps:bodyPr>
                        </wps:wsp>
                        <wps:wsp>
                          <wps:cNvPr id="24" name="Rectangle 24"/>
                          <wps:cNvSpPr/>
                          <wps:spPr>
                            <a:xfrm>
                              <a:off x="4043250" y="3422425"/>
                              <a:ext cx="2605500" cy="118500"/>
                            </a:xfrm>
                            <a:prstGeom prst="rect">
                              <a:avLst/>
                            </a:prstGeom>
                            <a:solidFill>
                              <a:srgbClr val="D7B56A"/>
                            </a:solidFill>
                            <a:ln w="9525" cap="flat" cmpd="sng">
                              <a:solidFill>
                                <a:srgbClr val="D7B56A"/>
                              </a:solidFill>
                              <a:prstDash val="solid"/>
                              <a:round/>
                              <a:headEnd type="none" w="sm" len="sm"/>
                              <a:tailEnd type="none" w="sm" len="sm"/>
                            </a:ln>
                          </wps:spPr>
                          <wps:txbx>
                            <w:txbxContent>
                              <w:p w14:paraId="18DC9ECA" w14:textId="77777777" w:rsidR="00AD3078" w:rsidRDefault="00AD3078">
                                <w:pPr>
                                  <w:jc w:val="center"/>
                                  <w:textDirection w:val="btLr"/>
                                </w:pPr>
                              </w:p>
                            </w:txbxContent>
                          </wps:txbx>
                          <wps:bodyPr spcFirstLastPara="1" wrap="square" lIns="91425" tIns="91425" rIns="91425" bIns="91425" anchor="ctr" anchorCtr="0">
                            <a:noAutofit/>
                          </wps:bodyPr>
                        </wps:wsp>
                        <wps:wsp>
                          <wps:cNvPr id="25" name="Rectangle 25"/>
                          <wps:cNvSpPr/>
                          <wps:spPr>
                            <a:xfrm>
                              <a:off x="6648750" y="3422425"/>
                              <a:ext cx="2471700" cy="118500"/>
                            </a:xfrm>
                            <a:prstGeom prst="rect">
                              <a:avLst/>
                            </a:prstGeom>
                            <a:solidFill>
                              <a:srgbClr val="DD6162"/>
                            </a:solidFill>
                            <a:ln w="9525" cap="flat" cmpd="sng">
                              <a:solidFill>
                                <a:srgbClr val="DD6162"/>
                              </a:solidFill>
                              <a:prstDash val="solid"/>
                              <a:round/>
                              <a:headEnd type="none" w="sm" len="sm"/>
                              <a:tailEnd type="none" w="sm" len="sm"/>
                            </a:ln>
                          </wps:spPr>
                          <wps:txbx>
                            <w:txbxContent>
                              <w:p w14:paraId="220214E6" w14:textId="77777777" w:rsidR="00AD3078" w:rsidRDefault="00AD3078">
                                <w:pPr>
                                  <w:jc w:val="center"/>
                                  <w:textDirection w:val="btLr"/>
                                </w:pPr>
                              </w:p>
                            </w:txbxContent>
                          </wps:txbx>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-923921</wp:posOffset>
              </wp:positionH>
              <wp:positionV relativeFrom="paragraph">
                <wp:posOffset>112208</wp:posOffset>
              </wp:positionV>
              <wp:extent cx="7891463" cy="645214"/>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891463" cy="645214"/>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B79D0" w14:textId="77777777" w:rsidR="006155C3" w:rsidRDefault="006155C3">
      <w:pPr>
        <w:spacing w:after="0" w:line="240" w:lineRule="auto"/>
      </w:pPr>
      <w:r>
        <w:separator/>
      </w:r>
    </w:p>
  </w:footnote>
  <w:footnote w:type="continuationSeparator" w:id="0">
    <w:p w14:paraId="415424DE" w14:textId="77777777" w:rsidR="006155C3" w:rsidRDefault="00615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0DA4" w14:textId="77777777" w:rsidR="00AD3078" w:rsidRDefault="006155C3">
    <w:r>
      <w:rPr>
        <w:noProof/>
      </w:rPr>
      <mc:AlternateContent>
        <mc:Choice Requires="wpg">
          <w:drawing>
            <wp:anchor distT="0" distB="0" distL="114300" distR="114300" simplePos="0" relativeHeight="251658240" behindDoc="0" locked="0" layoutInCell="1" hidden="0" allowOverlap="1" wp14:anchorId="7F52D168" wp14:editId="27386CE2">
              <wp:simplePos x="0" y="0"/>
              <wp:positionH relativeFrom="column">
                <wp:posOffset>-914398</wp:posOffset>
              </wp:positionH>
              <wp:positionV relativeFrom="paragraph">
                <wp:posOffset>-449577</wp:posOffset>
              </wp:positionV>
              <wp:extent cx="7730509" cy="2094473"/>
              <wp:effectExtent l="0" t="0" r="0" b="0"/>
              <wp:wrapNone/>
              <wp:docPr id="2" name="Group 2"/>
              <wp:cNvGraphicFramePr/>
              <a:graphic xmlns:a="http://schemas.openxmlformats.org/drawingml/2006/main">
                <a:graphicData uri="http://schemas.microsoft.com/office/word/2010/wordprocessingGroup">
                  <wpg:wgp>
                    <wpg:cNvGrpSpPr/>
                    <wpg:grpSpPr>
                      <a:xfrm>
                        <a:off x="0" y="0"/>
                        <a:ext cx="7730509" cy="2094473"/>
                        <a:chOff x="1480725" y="2732750"/>
                        <a:chExt cx="7730550" cy="2094500"/>
                      </a:xfrm>
                    </wpg:grpSpPr>
                    <wpg:grpSp>
                      <wpg:cNvPr id="1" name="Group 1"/>
                      <wpg:cNvGrpSpPr/>
                      <wpg:grpSpPr>
                        <a:xfrm>
                          <a:off x="1480746" y="2732764"/>
                          <a:ext cx="7730509" cy="2094473"/>
                          <a:chOff x="1480725" y="2732750"/>
                          <a:chExt cx="7730550" cy="2094500"/>
                        </a:xfrm>
                      </wpg:grpSpPr>
                      <wps:wsp>
                        <wps:cNvPr id="3" name="Rectangle 3"/>
                        <wps:cNvSpPr/>
                        <wps:spPr>
                          <a:xfrm>
                            <a:off x="1480725" y="2732750"/>
                            <a:ext cx="7730550" cy="2094500"/>
                          </a:xfrm>
                          <a:prstGeom prst="rect">
                            <a:avLst/>
                          </a:prstGeom>
                          <a:noFill/>
                          <a:ln>
                            <a:noFill/>
                          </a:ln>
                        </wps:spPr>
                        <wps:txbx>
                          <w:txbxContent>
                            <w:p w14:paraId="39603EB5" w14:textId="77777777" w:rsidR="00AD3078" w:rsidRDefault="00AD3078">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1480746" y="2732764"/>
                            <a:ext cx="7730509" cy="2094473"/>
                            <a:chOff x="1480725" y="2770525"/>
                            <a:chExt cx="7730600" cy="2089700"/>
                          </a:xfrm>
                        </wpg:grpSpPr>
                        <wps:wsp>
                          <wps:cNvPr id="8" name="Rectangle 8"/>
                          <wps:cNvSpPr/>
                          <wps:spPr>
                            <a:xfrm>
                              <a:off x="1480725" y="2770525"/>
                              <a:ext cx="7730600" cy="2089700"/>
                            </a:xfrm>
                            <a:prstGeom prst="rect">
                              <a:avLst/>
                            </a:prstGeom>
                            <a:noFill/>
                            <a:ln>
                              <a:noFill/>
                            </a:ln>
                          </wps:spPr>
                          <wps:txbx>
                            <w:txbxContent>
                              <w:p w14:paraId="42520EC6" w14:textId="77777777" w:rsidR="00AD3078" w:rsidRDefault="00AD3078">
                                <w:pPr>
                                  <w:textDirection w:val="btLr"/>
                                </w:pPr>
                              </w:p>
                            </w:txbxContent>
                          </wps:txbx>
                          <wps:bodyPr spcFirstLastPara="1" wrap="square" lIns="91425" tIns="91425" rIns="91425" bIns="91425" anchor="ctr" anchorCtr="0">
                            <a:noAutofit/>
                          </wps:bodyPr>
                        </wps:wsp>
                        <wps:wsp>
                          <wps:cNvPr id="9" name="Rectangle 9"/>
                          <wps:cNvSpPr/>
                          <wps:spPr>
                            <a:xfrm>
                              <a:off x="1487096" y="2776890"/>
                              <a:ext cx="7717809" cy="2006221"/>
                            </a:xfrm>
                            <a:prstGeom prst="rect">
                              <a:avLst/>
                            </a:prstGeom>
                            <a:solidFill>
                              <a:srgbClr val="222A58"/>
                            </a:solidFill>
                            <a:ln w="12700" cap="flat" cmpd="sng">
                              <a:solidFill>
                                <a:srgbClr val="222A58"/>
                              </a:solidFill>
                              <a:prstDash val="solid"/>
                              <a:miter lim="8000"/>
                              <a:headEnd type="none" w="sm" len="sm"/>
                              <a:tailEnd type="none" w="sm" len="sm"/>
                            </a:ln>
                          </wps:spPr>
                          <wps:txbx>
                            <w:txbxContent>
                              <w:p w14:paraId="603ABBF7" w14:textId="77777777" w:rsidR="00AD3078" w:rsidRDefault="00AD3078">
                                <w:pPr>
                                  <w:textDirection w:val="btLr"/>
                                </w:pPr>
                              </w:p>
                            </w:txbxContent>
                          </wps:txbx>
                          <wps:bodyPr spcFirstLastPara="1" wrap="square" lIns="91425" tIns="91425" rIns="91425" bIns="91425" anchor="ctr" anchorCtr="0">
                            <a:noAutofit/>
                          </wps:bodyPr>
                        </wps:wsp>
                        <wps:wsp>
                          <wps:cNvPr id="10" name="Rectangle 10"/>
                          <wps:cNvSpPr/>
                          <wps:spPr>
                            <a:xfrm>
                              <a:off x="1488750" y="4779250"/>
                              <a:ext cx="7717800" cy="76200"/>
                            </a:xfrm>
                            <a:prstGeom prst="rect">
                              <a:avLst/>
                            </a:prstGeom>
                            <a:solidFill>
                              <a:srgbClr val="4F9C9E"/>
                            </a:solidFill>
                            <a:ln w="9525" cap="flat" cmpd="sng">
                              <a:solidFill>
                                <a:srgbClr val="4F9C9E"/>
                              </a:solidFill>
                              <a:prstDash val="solid"/>
                              <a:round/>
                              <a:headEnd type="none" w="sm" len="sm"/>
                              <a:tailEnd type="none" w="sm" len="sm"/>
                            </a:ln>
                          </wps:spPr>
                          <wps:txbx>
                            <w:txbxContent>
                              <w:p w14:paraId="526D8C62" w14:textId="77777777" w:rsidR="00AD3078" w:rsidRDefault="00AD3078">
                                <w:pPr>
                                  <w:jc w:val="center"/>
                                  <w:textDirection w:val="btLr"/>
                                </w:pPr>
                              </w:p>
                            </w:txbxContent>
                          </wps:txbx>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-914398</wp:posOffset>
              </wp:positionH>
              <wp:positionV relativeFrom="paragraph">
                <wp:posOffset>-449577</wp:posOffset>
              </wp:positionV>
              <wp:extent cx="7730509" cy="2094473"/>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730509" cy="2094473"/>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DE8"/>
    <w:multiLevelType w:val="multilevel"/>
    <w:tmpl w:val="1708E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F0D53"/>
    <w:multiLevelType w:val="multilevel"/>
    <w:tmpl w:val="C2328E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C1382C"/>
    <w:multiLevelType w:val="multilevel"/>
    <w:tmpl w:val="47340ED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57535F5"/>
    <w:multiLevelType w:val="multilevel"/>
    <w:tmpl w:val="63145322"/>
    <w:lvl w:ilvl="0">
      <w:start w:val="1"/>
      <w:numFmt w:val="decimal"/>
      <w:lvlText w:val="%1."/>
      <w:lvlJc w:val="left"/>
      <w:pPr>
        <w:ind w:left="660" w:hanging="450"/>
      </w:pPr>
      <w:rPr>
        <w:rFonts w:ascii="Montserrat" w:eastAsia="Montserrat" w:hAnsi="Montserrat" w:cs="Montserrat"/>
        <w:color w:val="DD6162"/>
        <w:sz w:val="21"/>
        <w:szCs w:val="21"/>
        <w:u w:val="single"/>
      </w:r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4" w15:restartNumberingAfterBreak="0">
    <w:nsid w:val="33A04D31"/>
    <w:multiLevelType w:val="multilevel"/>
    <w:tmpl w:val="37E4A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1F5BE0"/>
    <w:multiLevelType w:val="multilevel"/>
    <w:tmpl w:val="DC009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9D92A85"/>
    <w:multiLevelType w:val="multilevel"/>
    <w:tmpl w:val="F7B230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B1C79CB"/>
    <w:multiLevelType w:val="multilevel"/>
    <w:tmpl w:val="748A4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8"/>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F191A08"/>
    <w:multiLevelType w:val="multilevel"/>
    <w:tmpl w:val="B9E03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0E2733"/>
    <w:multiLevelType w:val="multilevel"/>
    <w:tmpl w:val="36E2DA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D0A4678"/>
    <w:multiLevelType w:val="multilevel"/>
    <w:tmpl w:val="3E7A1D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7"/>
  </w:num>
  <w:num w:numId="3">
    <w:abstractNumId w:val="3"/>
  </w:num>
  <w:num w:numId="4">
    <w:abstractNumId w:val="8"/>
  </w:num>
  <w:num w:numId="5">
    <w:abstractNumId w:val="0"/>
  </w:num>
  <w:num w:numId="6">
    <w:abstractNumId w:val="1"/>
  </w:num>
  <w:num w:numId="7">
    <w:abstractNumId w:val="9"/>
  </w:num>
  <w:num w:numId="8">
    <w:abstractNumId w:val="2"/>
  </w:num>
  <w:num w:numId="9">
    <w:abstractNumId w:val="1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078"/>
    <w:rsid w:val="006155C3"/>
    <w:rsid w:val="00AD3078"/>
    <w:rsid w:val="00F70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9F83"/>
  <w15:docId w15:val="{B7A87F02-4ED3-4BF9-AD4C-2AB450B35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1"/>
        <w:szCs w:val="21"/>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222A58"/>
      </w:pBdr>
      <w:spacing w:before="400" w:after="40" w:line="240" w:lineRule="auto"/>
      <w:outlineLvl w:val="0"/>
    </w:pPr>
    <w:rPr>
      <w:color w:val="191F41"/>
      <w:sz w:val="36"/>
      <w:szCs w:val="36"/>
    </w:rPr>
  </w:style>
  <w:style w:type="paragraph" w:styleId="Heading2">
    <w:name w:val="heading 2"/>
    <w:basedOn w:val="Normal"/>
    <w:next w:val="Normal"/>
    <w:uiPriority w:val="9"/>
    <w:unhideWhenUsed/>
    <w:qFormat/>
    <w:pPr>
      <w:keepNext/>
      <w:keepLines/>
      <w:spacing w:before="160" w:after="0" w:line="240" w:lineRule="auto"/>
      <w:outlineLvl w:val="1"/>
    </w:pPr>
    <w:rPr>
      <w:color w:val="191F41"/>
      <w:sz w:val="28"/>
      <w:szCs w:val="28"/>
    </w:rPr>
  </w:style>
  <w:style w:type="paragraph" w:styleId="Heading3">
    <w:name w:val="heading 3"/>
    <w:basedOn w:val="Normal"/>
    <w:next w:val="Normal"/>
    <w:uiPriority w:val="9"/>
    <w:semiHidden/>
    <w:unhideWhenUsed/>
    <w:qFormat/>
    <w:pPr>
      <w:keepNext/>
      <w:keepLines/>
      <w:spacing w:before="80" w:after="0" w:line="240" w:lineRule="auto"/>
      <w:outlineLvl w:val="2"/>
    </w:pPr>
    <w:rPr>
      <w:color w:val="76B8BA"/>
      <w:sz w:val="26"/>
      <w:szCs w:val="26"/>
    </w:rPr>
  </w:style>
  <w:style w:type="paragraph" w:styleId="Heading4">
    <w:name w:val="heading 4"/>
    <w:basedOn w:val="Normal"/>
    <w:next w:val="Normal"/>
    <w:uiPriority w:val="9"/>
    <w:semiHidden/>
    <w:unhideWhenUsed/>
    <w:qFormat/>
    <w:pPr>
      <w:keepNext/>
      <w:keepLines/>
      <w:spacing w:before="80" w:after="0"/>
      <w:outlineLvl w:val="3"/>
    </w:pPr>
    <w:rPr>
      <w:sz w:val="24"/>
      <w:szCs w:val="24"/>
    </w:rPr>
  </w:style>
  <w:style w:type="paragraph" w:styleId="Heading5">
    <w:name w:val="heading 5"/>
    <w:basedOn w:val="Normal"/>
    <w:next w:val="Normal"/>
    <w:uiPriority w:val="9"/>
    <w:semiHidden/>
    <w:unhideWhenUsed/>
    <w:qFormat/>
    <w:pPr>
      <w:keepNext/>
      <w:keepLines/>
      <w:spacing w:before="80" w:after="0"/>
      <w:outlineLvl w:val="4"/>
    </w:pPr>
    <w:rPr>
      <w:i/>
      <w:iCs/>
      <w:sz w:val="22"/>
      <w:szCs w:val="22"/>
    </w:rPr>
  </w:style>
  <w:style w:type="paragraph" w:styleId="Heading6">
    <w:name w:val="heading 6"/>
    <w:basedOn w:val="Normal"/>
    <w:next w:val="Normal"/>
    <w:uiPriority w:val="9"/>
    <w:semiHidden/>
    <w:unhideWhenUsed/>
    <w:qFormat/>
    <w:pPr>
      <w:keepNext/>
      <w:keepLines/>
      <w:spacing w:before="80" w:after="0"/>
      <w:outlineLvl w:val="5"/>
    </w:pPr>
    <w:rPr>
      <w:color w:val="88C2C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color w:val="191F41"/>
      <w:sz w:val="80"/>
      <w:szCs w:val="80"/>
    </w:rPr>
  </w:style>
  <w:style w:type="paragraph" w:styleId="Subtitle">
    <w:name w:val="Subtitle"/>
    <w:basedOn w:val="Normal"/>
    <w:next w:val="Normal"/>
    <w:uiPriority w:val="11"/>
    <w:qFormat/>
    <w:pPr>
      <w:spacing w:after="240" w:line="240" w:lineRule="auto"/>
    </w:pPr>
    <w:rPr>
      <w:color w:val="76B8BA"/>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rcestershire.gov.uk/sendias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school-exclusions-guide-for-parent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a102af79819be865f421c7d/Suspension_and_Permanent_Exclusion_guidance_July_2026.pdf"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www.worcestershire.gov.uk/worcestershire-children-first-education-services/support-services/safeguarding-children/exclusions-and-fair-acces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ssets.publishing.service.gov.uk/media/6a102af79819be865f421c7d/Suspension_and_Permanent_Exclusion_guidance_July_2026.pdf"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0XSabi9mPvN+iay3a5RjtKxEg==">CgMxLjAyDmgucTRrOXFxMm85ZTVvMg5oLnJqMXYyMWg0ajQxeDIOaC5lYnRtMGc2aXAxNGkyDmguNjdjNWJjbm83OTZkMg5oLnNpdHVqMThqbDVlODIOaC5wanFnZGoxYWh5bW8yDmguaDRqd2F2bzA1dmZkMg5oLno0bmRneHJ5ZzB2aDIOaC5vZmZlaG5odzAxOGYyDmgudnV0YjRibnhmbnQxMg5oLjM5MDN0MG83M2wwYTIOaC5ibDFsZ2ZqbGxxbmoyDmgueGpybXVpYWFudG50Mg5oLnJnOHduZGJrYjRpOTIOaC4xaHFkNmtmZDlwcGEyDmguOGV1aXM4MjA0ZDk5Mg5oLnZhN3J3anphMnc2ODIOaC5ta3Z3MDFkZmtnNmEyDmgueTk4cHh6c3BmY3g4Mg5oLmdwOXF5bDN5NmNoZzIOaC52bXk4eGNxejg5ZDUyDmguZG14am84dG8xenFrMg1oLjlqYTZ5bDJucGJ5Mg5oLmFjdWl0dnlqYjZkdTgAciExelNtYUZWZGhzRlhKX1AxQ3padER3N2hMNk5nOGt0Q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3768</Words>
  <Characters>21480</Characters>
  <Application>Microsoft Office Word</Application>
  <DocSecurity>0</DocSecurity>
  <Lines>179</Lines>
  <Paragraphs>50</Paragraphs>
  <ScaleCrop>false</ScaleCrop>
  <Company/>
  <LinksUpToDate>false</LinksUpToDate>
  <CharactersWithSpaces>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Price</dc:creator>
  <cp:lastModifiedBy>Samantha Price</cp:lastModifiedBy>
  <cp:revision>2</cp:revision>
  <dcterms:created xsi:type="dcterms:W3CDTF">2026-06-05T16:10:00Z</dcterms:created>
  <dcterms:modified xsi:type="dcterms:W3CDTF">2026-06-05T16:10:00Z</dcterms:modified>
</cp:coreProperties>
</file>